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441D2" w14:textId="18AEA48E" w:rsidR="00874286" w:rsidRPr="00DE05EF" w:rsidRDefault="003378C8" w:rsidP="00DE05EF">
      <w:pPr>
        <w:pStyle w:val="NoSpacing"/>
        <w:jc w:val="center"/>
        <w:rPr>
          <w:b/>
          <w:sz w:val="44"/>
          <w:szCs w:val="44"/>
          <w:u w:val="single"/>
        </w:rPr>
      </w:pPr>
      <w:r>
        <w:rPr>
          <w:b/>
          <w:sz w:val="44"/>
          <w:szCs w:val="44"/>
          <w:u w:val="single"/>
        </w:rPr>
        <w:t>Excitations</w:t>
      </w:r>
    </w:p>
    <w:p w14:paraId="3C8A77AD" w14:textId="2CDDB3B6" w:rsidR="00DE05EF" w:rsidRDefault="00DE05EF" w:rsidP="00DE05EF">
      <w:pPr>
        <w:pStyle w:val="NoSpacing"/>
        <w:rPr>
          <w:sz w:val="24"/>
          <w:szCs w:val="24"/>
        </w:rPr>
      </w:pPr>
    </w:p>
    <w:p w14:paraId="50442B4D" w14:textId="77777777" w:rsidR="007C0AC6" w:rsidRPr="00DE05EF" w:rsidRDefault="007C0AC6" w:rsidP="00DE05EF">
      <w:pPr>
        <w:pStyle w:val="NoSpacing"/>
        <w:rPr>
          <w:sz w:val="24"/>
          <w:szCs w:val="24"/>
        </w:rPr>
      </w:pPr>
    </w:p>
    <w:p w14:paraId="24B9B012" w14:textId="77777777" w:rsidR="00DE05EF" w:rsidRDefault="00DE05EF" w:rsidP="00DE05EF">
      <w:pPr>
        <w:pStyle w:val="NoSpacing"/>
        <w:rPr>
          <w:sz w:val="24"/>
          <w:szCs w:val="24"/>
        </w:rPr>
      </w:pPr>
      <w:r w:rsidRPr="00DE05EF">
        <w:rPr>
          <w:sz w:val="24"/>
          <w:szCs w:val="24"/>
        </w:rPr>
        <w:t xml:space="preserve">Let’s </w:t>
      </w:r>
      <w:r>
        <w:rPr>
          <w:sz w:val="24"/>
          <w:szCs w:val="24"/>
        </w:rPr>
        <w:t xml:space="preserve">consider the properties of core electron states.  Being tightly bound as they are, their energy levels probably won’t broaden too much into bands.  We can also probably treat them as non-interacting – well, within the CFA and Hund’s rules. </w:t>
      </w:r>
    </w:p>
    <w:p w14:paraId="78BAC422" w14:textId="77777777" w:rsidR="00DE05EF" w:rsidRDefault="00DE05EF" w:rsidP="00DE05EF">
      <w:pPr>
        <w:pStyle w:val="NoSpacing"/>
        <w:rPr>
          <w:sz w:val="24"/>
          <w:szCs w:val="24"/>
        </w:rPr>
      </w:pPr>
    </w:p>
    <w:p w14:paraId="4F274A9E" w14:textId="4F5F4AB5" w:rsidR="00DE05EF" w:rsidRDefault="00DE05EF" w:rsidP="00E608D2">
      <w:pPr>
        <w:pStyle w:val="NoSpacing"/>
        <w:rPr>
          <w:rFonts w:ascii="Calibri" w:hAnsi="Calibri" w:cs="Calibri"/>
          <w:sz w:val="24"/>
          <w:szCs w:val="24"/>
        </w:rPr>
      </w:pPr>
      <w:r>
        <w:rPr>
          <w:sz w:val="24"/>
          <w:szCs w:val="24"/>
        </w:rPr>
        <w:t xml:space="preserve">So recall that from CFA and Hund’s rules, the excited states accessible to </w:t>
      </w:r>
      <w:r w:rsidR="002E6C0F">
        <w:rPr>
          <w:sz w:val="24"/>
          <w:szCs w:val="24"/>
        </w:rPr>
        <w:t>valence subshell are characterized by reorganizing their degenerate</w:t>
      </w:r>
      <w:r w:rsidRPr="00DE05EF">
        <w:rPr>
          <w:rFonts w:ascii="Calibri" w:hAnsi="Calibri" w:cs="Calibri"/>
          <w:sz w:val="24"/>
          <w:szCs w:val="24"/>
        </w:rPr>
        <w:t>|ℓsm</w:t>
      </w:r>
      <w:r w:rsidRPr="00DE05EF">
        <w:rPr>
          <w:rFonts w:ascii="Calibri" w:hAnsi="Calibri" w:cs="Calibri"/>
          <w:sz w:val="24"/>
          <w:szCs w:val="24"/>
          <w:vertAlign w:val="subscript"/>
        </w:rPr>
        <w:t>ℓ</w:t>
      </w:r>
      <w:r w:rsidRPr="00DE05EF">
        <w:rPr>
          <w:rFonts w:ascii="Calibri" w:hAnsi="Calibri" w:cs="Calibri"/>
          <w:sz w:val="24"/>
          <w:szCs w:val="24"/>
        </w:rPr>
        <w:t>m</w:t>
      </w:r>
      <w:r w:rsidRPr="00DE05EF">
        <w:rPr>
          <w:rFonts w:ascii="Calibri" w:hAnsi="Calibri" w:cs="Calibri"/>
          <w:sz w:val="24"/>
          <w:szCs w:val="24"/>
          <w:vertAlign w:val="subscript"/>
        </w:rPr>
        <w:t>s</w:t>
      </w:r>
      <w:r w:rsidRPr="00DE05EF">
        <w:rPr>
          <w:rFonts w:ascii="Calibri" w:hAnsi="Calibri" w:cs="Calibri"/>
          <w:sz w:val="24"/>
          <w:szCs w:val="24"/>
        </w:rPr>
        <w:t>&gt;</w:t>
      </w:r>
      <w:r w:rsidRPr="00DE05EF">
        <w:rPr>
          <w:rFonts w:ascii="Calibri" w:hAnsi="Calibri" w:cs="Calibri"/>
          <w:sz w:val="24"/>
          <w:szCs w:val="24"/>
          <w:vertAlign w:val="superscript"/>
        </w:rPr>
        <w:t>N</w:t>
      </w:r>
      <w:r w:rsidRPr="00DE05EF">
        <w:rPr>
          <w:rFonts w:ascii="Calibri" w:hAnsi="Calibri" w:cs="Calibri"/>
          <w:sz w:val="24"/>
          <w:szCs w:val="24"/>
        </w:rPr>
        <w:t xml:space="preserve"> </w:t>
      </w:r>
      <w:r w:rsidR="002E6C0F">
        <w:rPr>
          <w:rFonts w:ascii="Calibri" w:hAnsi="Calibri" w:cs="Calibri"/>
          <w:sz w:val="24"/>
          <w:szCs w:val="24"/>
        </w:rPr>
        <w:t xml:space="preserve">subspace </w:t>
      </w:r>
      <w:r w:rsidRPr="00DE05EF">
        <w:rPr>
          <w:rFonts w:ascii="Calibri" w:hAnsi="Calibri" w:cs="Calibri"/>
          <w:sz w:val="24"/>
          <w:szCs w:val="24"/>
        </w:rPr>
        <w:t xml:space="preserve">into </w:t>
      </w:r>
      <w:r w:rsidRPr="002E6C0F">
        <w:rPr>
          <w:rFonts w:ascii="Calibri" w:hAnsi="Calibri" w:cs="Calibri"/>
          <w:sz w:val="24"/>
          <w:szCs w:val="24"/>
        </w:rPr>
        <w:t>the |L</w:t>
      </w:r>
      <w:r w:rsidRPr="002E6C0F">
        <w:rPr>
          <w:rFonts w:ascii="Calibri" w:hAnsi="Calibri" w:cs="Calibri"/>
          <w:sz w:val="24"/>
          <w:szCs w:val="24"/>
          <w:vertAlign w:val="subscript"/>
        </w:rPr>
        <w:t>T</w:t>
      </w:r>
      <w:r w:rsidRPr="002E6C0F">
        <w:rPr>
          <w:rFonts w:ascii="Calibri" w:hAnsi="Calibri" w:cs="Calibri"/>
          <w:sz w:val="24"/>
          <w:szCs w:val="24"/>
        </w:rPr>
        <w:t>S</w:t>
      </w:r>
      <w:r w:rsidRPr="002E6C0F">
        <w:rPr>
          <w:rFonts w:ascii="Calibri" w:hAnsi="Calibri" w:cs="Calibri"/>
          <w:sz w:val="24"/>
          <w:szCs w:val="24"/>
          <w:vertAlign w:val="subscript"/>
        </w:rPr>
        <w:t>T</w:t>
      </w:r>
      <w:r w:rsidRPr="002E6C0F">
        <w:rPr>
          <w:rFonts w:ascii="Calibri" w:hAnsi="Calibri" w:cs="Calibri"/>
          <w:sz w:val="24"/>
          <w:szCs w:val="24"/>
        </w:rPr>
        <w:t>J</w:t>
      </w:r>
      <w:r w:rsidRPr="002E6C0F">
        <w:rPr>
          <w:rFonts w:ascii="Calibri" w:hAnsi="Calibri" w:cs="Calibri"/>
          <w:sz w:val="24"/>
          <w:szCs w:val="24"/>
          <w:vertAlign w:val="subscript"/>
        </w:rPr>
        <w:t>T</w:t>
      </w:r>
      <w:r w:rsidRPr="002E6C0F">
        <w:rPr>
          <w:rFonts w:ascii="Calibri" w:hAnsi="Calibri" w:cs="Calibri"/>
          <w:sz w:val="24"/>
          <w:szCs w:val="24"/>
        </w:rPr>
        <w:t>m</w:t>
      </w:r>
      <w:r w:rsidRPr="002E6C0F">
        <w:rPr>
          <w:rFonts w:ascii="Calibri" w:hAnsi="Calibri" w:cs="Calibri"/>
          <w:sz w:val="24"/>
          <w:szCs w:val="24"/>
          <w:vertAlign w:val="subscript"/>
        </w:rPr>
        <w:t>JT</w:t>
      </w:r>
      <w:r w:rsidRPr="002E6C0F">
        <w:rPr>
          <w:rFonts w:ascii="Calibri" w:hAnsi="Calibri" w:cs="Calibri"/>
          <w:sz w:val="24"/>
          <w:szCs w:val="24"/>
        </w:rPr>
        <w:t>&gt; space</w:t>
      </w:r>
      <w:r w:rsidRPr="00DE05EF">
        <w:rPr>
          <w:rFonts w:ascii="Calibri" w:hAnsi="Calibri" w:cs="Calibri"/>
          <w:sz w:val="24"/>
          <w:szCs w:val="24"/>
        </w:rPr>
        <w:t xml:space="preserve">.  </w:t>
      </w:r>
      <w:r w:rsidR="00E608D2">
        <w:rPr>
          <w:rFonts w:ascii="Calibri" w:hAnsi="Calibri" w:cs="Calibri"/>
          <w:sz w:val="24"/>
          <w:szCs w:val="24"/>
        </w:rPr>
        <w:t>Hund’s rules tell us the lowest lying states:</w:t>
      </w:r>
    </w:p>
    <w:p w14:paraId="15C1E3B0" w14:textId="77777777" w:rsidR="00E608D2" w:rsidRPr="002E6C0F" w:rsidRDefault="00E608D2" w:rsidP="00E608D2">
      <w:pPr>
        <w:pStyle w:val="NoSpacing"/>
        <w:rPr>
          <w:rFonts w:ascii="Calibri" w:hAnsi="Calibri" w:cs="Calibri"/>
          <w:sz w:val="24"/>
          <w:szCs w:val="24"/>
        </w:rPr>
      </w:pPr>
    </w:p>
    <w:p w14:paraId="31666797" w14:textId="77777777" w:rsidR="00DE05EF" w:rsidRPr="002E6C0F" w:rsidRDefault="00DE05EF" w:rsidP="00DE05EF">
      <w:pPr>
        <w:numPr>
          <w:ilvl w:val="0"/>
          <w:numId w:val="1"/>
        </w:numPr>
        <w:spacing w:after="0" w:line="240" w:lineRule="auto"/>
        <w:rPr>
          <w:rFonts w:ascii="Calibri" w:hAnsi="Calibri" w:cs="Calibri"/>
          <w:sz w:val="24"/>
          <w:szCs w:val="24"/>
        </w:rPr>
      </w:pPr>
      <w:r w:rsidRPr="002E6C0F">
        <w:rPr>
          <w:rFonts w:ascii="Calibri" w:hAnsi="Calibri" w:cs="Calibri"/>
          <w:sz w:val="24"/>
          <w:szCs w:val="24"/>
        </w:rPr>
        <w:t>Maximize S</w:t>
      </w:r>
      <w:r w:rsidRPr="002E6C0F">
        <w:rPr>
          <w:rFonts w:ascii="Calibri" w:hAnsi="Calibri" w:cs="Calibri"/>
          <w:sz w:val="24"/>
          <w:szCs w:val="24"/>
          <w:vertAlign w:val="subscript"/>
        </w:rPr>
        <w:t>T</w:t>
      </w:r>
      <w:r w:rsidRPr="002E6C0F">
        <w:rPr>
          <w:rFonts w:ascii="Calibri" w:hAnsi="Calibri" w:cs="Calibri"/>
          <w:sz w:val="24"/>
          <w:szCs w:val="24"/>
        </w:rPr>
        <w:t xml:space="preserve"> consistent with the Pauli exclusion principle (having same spin requires spatial part of total electron wavefunction to be anti-symmetric, minimizing their repulsion and hence lowering energy)</w:t>
      </w:r>
    </w:p>
    <w:p w14:paraId="40A0DDAD" w14:textId="77777777" w:rsidR="00DE05EF" w:rsidRPr="002E6C0F" w:rsidRDefault="00DE05EF" w:rsidP="00DE05EF">
      <w:pPr>
        <w:numPr>
          <w:ilvl w:val="0"/>
          <w:numId w:val="1"/>
        </w:numPr>
        <w:spacing w:after="0" w:line="240" w:lineRule="auto"/>
        <w:rPr>
          <w:rFonts w:ascii="Calibri" w:hAnsi="Calibri" w:cs="Calibri"/>
          <w:sz w:val="24"/>
          <w:szCs w:val="24"/>
        </w:rPr>
      </w:pPr>
      <w:r w:rsidRPr="002E6C0F">
        <w:rPr>
          <w:rFonts w:ascii="Calibri" w:hAnsi="Calibri" w:cs="Calibri"/>
          <w:sz w:val="24"/>
          <w:szCs w:val="24"/>
        </w:rPr>
        <w:t>Maximize L</w:t>
      </w:r>
      <w:r w:rsidRPr="002E6C0F">
        <w:rPr>
          <w:rFonts w:ascii="Calibri" w:hAnsi="Calibri" w:cs="Calibri"/>
          <w:sz w:val="24"/>
          <w:szCs w:val="24"/>
          <w:vertAlign w:val="subscript"/>
        </w:rPr>
        <w:t>T</w:t>
      </w:r>
      <w:r w:rsidRPr="002E6C0F">
        <w:rPr>
          <w:rFonts w:ascii="Calibri" w:hAnsi="Calibri" w:cs="Calibri"/>
          <w:sz w:val="24"/>
          <w:szCs w:val="24"/>
        </w:rPr>
        <w:t xml:space="preserve"> consistent with S</w:t>
      </w:r>
      <w:r w:rsidRPr="002E6C0F">
        <w:rPr>
          <w:rFonts w:ascii="Calibri" w:hAnsi="Calibri" w:cs="Calibri"/>
          <w:sz w:val="24"/>
          <w:szCs w:val="24"/>
          <w:vertAlign w:val="subscript"/>
        </w:rPr>
        <w:t>T</w:t>
      </w:r>
      <w:r w:rsidRPr="002E6C0F">
        <w:rPr>
          <w:rFonts w:ascii="Calibri" w:hAnsi="Calibri" w:cs="Calibri"/>
          <w:sz w:val="24"/>
          <w:szCs w:val="24"/>
        </w:rPr>
        <w:t xml:space="preserve"> and the Pauli exclusion principle (going in same orbital direction minimizes chance of crossing, and hence electrical repulsion)</w:t>
      </w:r>
    </w:p>
    <w:p w14:paraId="76651D2C" w14:textId="77777777" w:rsidR="00DE05EF" w:rsidRPr="002E6C0F" w:rsidRDefault="00DE05EF" w:rsidP="00DE05EF">
      <w:pPr>
        <w:numPr>
          <w:ilvl w:val="0"/>
          <w:numId w:val="1"/>
        </w:numPr>
        <w:spacing w:after="0" w:line="240" w:lineRule="auto"/>
        <w:rPr>
          <w:rFonts w:ascii="Calibri" w:hAnsi="Calibri" w:cs="Calibri"/>
          <w:sz w:val="24"/>
          <w:szCs w:val="24"/>
        </w:rPr>
      </w:pPr>
      <w:r w:rsidRPr="002E6C0F">
        <w:rPr>
          <w:rFonts w:ascii="Calibri" w:hAnsi="Calibri" w:cs="Calibri"/>
          <w:sz w:val="24"/>
          <w:szCs w:val="24"/>
        </w:rPr>
        <w:t>Now allowed J</w:t>
      </w:r>
      <w:r w:rsidRPr="002E6C0F">
        <w:rPr>
          <w:rFonts w:ascii="Calibri" w:hAnsi="Calibri" w:cs="Calibri"/>
          <w:sz w:val="24"/>
          <w:szCs w:val="24"/>
          <w:vertAlign w:val="subscript"/>
        </w:rPr>
        <w:t>T</w:t>
      </w:r>
      <w:r w:rsidRPr="002E6C0F">
        <w:rPr>
          <w:rFonts w:ascii="Calibri" w:hAnsi="Calibri" w:cs="Calibri"/>
          <w:sz w:val="24"/>
          <w:szCs w:val="24"/>
        </w:rPr>
        <w:t xml:space="preserve"> values are J </w:t>
      </w:r>
      <w:r w:rsidRPr="002E6C0F">
        <w:rPr>
          <w:rFonts w:ascii="Cambria Math" w:hAnsi="Cambria Math" w:cs="Calibri"/>
          <w:sz w:val="24"/>
          <w:szCs w:val="24"/>
        </w:rPr>
        <w:t>∈</w:t>
      </w:r>
      <w:r w:rsidRPr="002E6C0F">
        <w:rPr>
          <w:rFonts w:ascii="Calibri" w:hAnsi="Calibri" w:cs="Calibri"/>
          <w:sz w:val="24"/>
          <w:szCs w:val="24"/>
        </w:rPr>
        <w:t xml:space="preserve"> |L</w:t>
      </w:r>
      <w:r w:rsidRPr="002E6C0F">
        <w:rPr>
          <w:rFonts w:ascii="Calibri" w:hAnsi="Calibri" w:cs="Calibri"/>
          <w:sz w:val="24"/>
          <w:szCs w:val="24"/>
          <w:vertAlign w:val="subscript"/>
        </w:rPr>
        <w:t>T</w:t>
      </w:r>
      <w:r w:rsidRPr="002E6C0F">
        <w:rPr>
          <w:rFonts w:ascii="Calibri" w:hAnsi="Calibri" w:cs="Calibri"/>
          <w:sz w:val="24"/>
          <w:szCs w:val="24"/>
        </w:rPr>
        <w:t xml:space="preserve"> – S</w:t>
      </w:r>
      <w:r w:rsidRPr="002E6C0F">
        <w:rPr>
          <w:rFonts w:ascii="Calibri" w:hAnsi="Calibri" w:cs="Calibri"/>
          <w:sz w:val="24"/>
          <w:szCs w:val="24"/>
          <w:vertAlign w:val="subscript"/>
        </w:rPr>
        <w:t>T</w:t>
      </w:r>
      <w:r w:rsidRPr="002E6C0F">
        <w:rPr>
          <w:rFonts w:ascii="Calibri" w:hAnsi="Calibri" w:cs="Calibri"/>
          <w:sz w:val="24"/>
          <w:szCs w:val="24"/>
        </w:rPr>
        <w:t>| …. (L</w:t>
      </w:r>
      <w:r w:rsidRPr="002E6C0F">
        <w:rPr>
          <w:rFonts w:ascii="Calibri" w:hAnsi="Calibri" w:cs="Calibri"/>
          <w:sz w:val="24"/>
          <w:szCs w:val="24"/>
          <w:vertAlign w:val="subscript"/>
        </w:rPr>
        <w:t xml:space="preserve">T </w:t>
      </w:r>
      <w:r w:rsidRPr="002E6C0F">
        <w:rPr>
          <w:rFonts w:ascii="Calibri" w:hAnsi="Calibri" w:cs="Calibri"/>
          <w:sz w:val="24"/>
          <w:szCs w:val="24"/>
        </w:rPr>
        <w:t>+ S</w:t>
      </w:r>
      <w:r w:rsidRPr="002E6C0F">
        <w:rPr>
          <w:rFonts w:ascii="Calibri" w:hAnsi="Calibri" w:cs="Calibri"/>
          <w:sz w:val="24"/>
          <w:szCs w:val="24"/>
          <w:vertAlign w:val="subscript"/>
        </w:rPr>
        <w:t>T</w:t>
      </w:r>
      <w:r w:rsidRPr="002E6C0F">
        <w:rPr>
          <w:rFonts w:ascii="Calibri" w:hAnsi="Calibri" w:cs="Calibri"/>
          <w:sz w:val="24"/>
          <w:szCs w:val="24"/>
        </w:rPr>
        <w:t>).  With freedom left, Maximize/Minimize J</w:t>
      </w:r>
      <w:r w:rsidRPr="002E6C0F">
        <w:rPr>
          <w:rFonts w:ascii="Calibri" w:hAnsi="Calibri" w:cs="Calibri"/>
          <w:sz w:val="24"/>
          <w:szCs w:val="24"/>
          <w:vertAlign w:val="subscript"/>
        </w:rPr>
        <w:t>T</w:t>
      </w:r>
      <w:r w:rsidRPr="002E6C0F">
        <w:rPr>
          <w:rFonts w:ascii="Calibri" w:hAnsi="Calibri" w:cs="Calibri"/>
          <w:sz w:val="24"/>
          <w:szCs w:val="24"/>
        </w:rPr>
        <w:t xml:space="preserve"> if filling of valence is &gt;, &lt; ½ filled.  If it is half-filled then there is only one possible value of J</w:t>
      </w:r>
      <w:r w:rsidRPr="002E6C0F">
        <w:rPr>
          <w:rFonts w:ascii="Calibri" w:hAnsi="Calibri" w:cs="Calibri"/>
          <w:sz w:val="24"/>
          <w:szCs w:val="24"/>
          <w:vertAlign w:val="subscript"/>
        </w:rPr>
        <w:t>T</w:t>
      </w:r>
      <w:r w:rsidRPr="002E6C0F">
        <w:rPr>
          <w:rFonts w:ascii="Calibri" w:hAnsi="Calibri" w:cs="Calibri"/>
          <w:sz w:val="24"/>
          <w:szCs w:val="24"/>
        </w:rPr>
        <w:t xml:space="preserve"> anyway because L</w:t>
      </w:r>
      <w:r w:rsidRPr="002E6C0F">
        <w:rPr>
          <w:rFonts w:ascii="Calibri" w:hAnsi="Calibri" w:cs="Calibri"/>
          <w:sz w:val="24"/>
          <w:szCs w:val="24"/>
          <w:vertAlign w:val="subscript"/>
        </w:rPr>
        <w:t>T</w:t>
      </w:r>
      <w:r w:rsidRPr="002E6C0F">
        <w:rPr>
          <w:rFonts w:ascii="Calibri" w:hAnsi="Calibri" w:cs="Calibri"/>
          <w:sz w:val="24"/>
          <w:szCs w:val="24"/>
        </w:rPr>
        <w:t xml:space="preserve"> = 0.  This procedure is basically taking account of SO interaction.  </w:t>
      </w:r>
    </w:p>
    <w:p w14:paraId="201D0D55" w14:textId="77777777" w:rsidR="00DE05EF" w:rsidRPr="002E6C0F" w:rsidRDefault="00DE05EF" w:rsidP="00DE05EF">
      <w:pPr>
        <w:numPr>
          <w:ilvl w:val="0"/>
          <w:numId w:val="1"/>
        </w:numPr>
        <w:spacing w:after="0" w:line="240" w:lineRule="auto"/>
        <w:rPr>
          <w:rFonts w:ascii="Calibri" w:hAnsi="Calibri" w:cs="Calibri"/>
          <w:sz w:val="24"/>
          <w:szCs w:val="24"/>
        </w:rPr>
      </w:pPr>
      <w:r w:rsidRPr="002E6C0F">
        <w:rPr>
          <w:rFonts w:ascii="Calibri" w:hAnsi="Calibri" w:cs="Calibri"/>
          <w:sz w:val="24"/>
          <w:szCs w:val="24"/>
        </w:rPr>
        <w:t>Then we’ll have 2J</w:t>
      </w:r>
      <w:r w:rsidRPr="002E6C0F">
        <w:rPr>
          <w:rFonts w:ascii="Calibri" w:hAnsi="Calibri" w:cs="Calibri"/>
          <w:sz w:val="24"/>
          <w:szCs w:val="24"/>
          <w:vertAlign w:val="subscript"/>
        </w:rPr>
        <w:t>T</w:t>
      </w:r>
      <w:r w:rsidRPr="002E6C0F">
        <w:rPr>
          <w:rFonts w:ascii="Calibri" w:hAnsi="Calibri" w:cs="Calibri"/>
          <w:sz w:val="24"/>
          <w:szCs w:val="24"/>
        </w:rPr>
        <w:t xml:space="preserve"> + 1 degenerate states left.  Higher states have much less likelihood of being populated even at room temperature, apparently.</w:t>
      </w:r>
    </w:p>
    <w:p w14:paraId="15954289" w14:textId="77777777" w:rsidR="00DE05EF" w:rsidRPr="00E608D2" w:rsidRDefault="00DE05EF" w:rsidP="00DE05EF">
      <w:pPr>
        <w:rPr>
          <w:rFonts w:ascii="Calibri" w:hAnsi="Calibri" w:cs="Calibri"/>
          <w:sz w:val="28"/>
          <w:szCs w:val="28"/>
        </w:rPr>
      </w:pPr>
    </w:p>
    <w:p w14:paraId="36480DF4" w14:textId="64480CB4" w:rsidR="00E608D2" w:rsidRDefault="00DE05EF" w:rsidP="00E608D2">
      <w:pPr>
        <w:pStyle w:val="NoSpacing"/>
        <w:rPr>
          <w:sz w:val="24"/>
          <w:szCs w:val="24"/>
        </w:rPr>
      </w:pPr>
      <w:r w:rsidRPr="00E608D2">
        <w:rPr>
          <w:sz w:val="24"/>
          <w:szCs w:val="24"/>
        </w:rPr>
        <w:t xml:space="preserve">We’ll note that for a filled </w:t>
      </w:r>
      <w:r w:rsidR="00E608D2" w:rsidRPr="00E608D2">
        <w:rPr>
          <w:sz w:val="24"/>
          <w:szCs w:val="24"/>
        </w:rPr>
        <w:t>subshell</w:t>
      </w:r>
      <w:r w:rsidRPr="00E608D2">
        <w:rPr>
          <w:sz w:val="24"/>
          <w:szCs w:val="24"/>
        </w:rPr>
        <w:t>, we’d have S</w:t>
      </w:r>
      <w:r w:rsidRPr="00E608D2">
        <w:rPr>
          <w:sz w:val="24"/>
          <w:szCs w:val="24"/>
          <w:vertAlign w:val="subscript"/>
        </w:rPr>
        <w:t>T</w:t>
      </w:r>
      <w:r w:rsidRPr="00E608D2">
        <w:rPr>
          <w:sz w:val="24"/>
          <w:szCs w:val="24"/>
        </w:rPr>
        <w:t xml:space="preserve"> = L</w:t>
      </w:r>
      <w:r w:rsidRPr="00E608D2">
        <w:rPr>
          <w:sz w:val="24"/>
          <w:szCs w:val="24"/>
          <w:vertAlign w:val="subscript"/>
        </w:rPr>
        <w:t>T</w:t>
      </w:r>
      <w:r w:rsidRPr="00E608D2">
        <w:rPr>
          <w:sz w:val="24"/>
          <w:szCs w:val="24"/>
        </w:rPr>
        <w:t xml:space="preserve"> = J</w:t>
      </w:r>
      <w:r w:rsidRPr="00E608D2">
        <w:rPr>
          <w:sz w:val="24"/>
          <w:szCs w:val="24"/>
          <w:vertAlign w:val="subscript"/>
        </w:rPr>
        <w:t>T</w:t>
      </w:r>
      <w:r w:rsidRPr="00E608D2">
        <w:rPr>
          <w:sz w:val="24"/>
          <w:szCs w:val="24"/>
        </w:rPr>
        <w:t xml:space="preserve"> = 0.  And for a ½ filled – 1 </w:t>
      </w:r>
      <w:r w:rsidR="00E608D2" w:rsidRPr="00E608D2">
        <w:rPr>
          <w:sz w:val="24"/>
          <w:szCs w:val="24"/>
        </w:rPr>
        <w:t>subshell</w:t>
      </w:r>
      <w:r w:rsidRPr="00E608D2">
        <w:rPr>
          <w:sz w:val="24"/>
          <w:szCs w:val="24"/>
        </w:rPr>
        <w:t xml:space="preserve"> we’d get the same thing.  </w:t>
      </w:r>
    </w:p>
    <w:p w14:paraId="46A4DD32" w14:textId="3DC6940A" w:rsidR="00DE05EF" w:rsidRPr="00DE05EF" w:rsidRDefault="00DE05EF" w:rsidP="00E608D2">
      <w:pPr>
        <w:pStyle w:val="NoSpacing"/>
        <w:rPr>
          <w:sz w:val="28"/>
          <w:szCs w:val="28"/>
        </w:rPr>
      </w:pPr>
    </w:p>
    <w:sectPr w:rsidR="00DE05EF" w:rsidRPr="00DE05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2B2624"/>
    <w:multiLevelType w:val="hybridMultilevel"/>
    <w:tmpl w:val="EC40DB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13355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194"/>
    <w:rsid w:val="00087059"/>
    <w:rsid w:val="00094C92"/>
    <w:rsid w:val="000961CB"/>
    <w:rsid w:val="000D1A98"/>
    <w:rsid w:val="00133166"/>
    <w:rsid w:val="00225078"/>
    <w:rsid w:val="00272C49"/>
    <w:rsid w:val="002E6C0F"/>
    <w:rsid w:val="003378C8"/>
    <w:rsid w:val="00371B02"/>
    <w:rsid w:val="003B2AF0"/>
    <w:rsid w:val="004349E5"/>
    <w:rsid w:val="00434A71"/>
    <w:rsid w:val="004A4D8C"/>
    <w:rsid w:val="004B39D7"/>
    <w:rsid w:val="00581959"/>
    <w:rsid w:val="00737620"/>
    <w:rsid w:val="007452CC"/>
    <w:rsid w:val="007C0194"/>
    <w:rsid w:val="007C0AC6"/>
    <w:rsid w:val="00843CC1"/>
    <w:rsid w:val="00874286"/>
    <w:rsid w:val="008F4027"/>
    <w:rsid w:val="009D5095"/>
    <w:rsid w:val="00B24E03"/>
    <w:rsid w:val="00B51DD1"/>
    <w:rsid w:val="00C433D5"/>
    <w:rsid w:val="00CA5292"/>
    <w:rsid w:val="00CC1CF0"/>
    <w:rsid w:val="00DA3B62"/>
    <w:rsid w:val="00DE05EF"/>
    <w:rsid w:val="00E229E0"/>
    <w:rsid w:val="00E608D2"/>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50E2D"/>
  <w15:chartTrackingRefBased/>
  <w15:docId w15:val="{ABD46662-F5D5-4250-A803-C010658B8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05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213</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13</cp:revision>
  <dcterms:created xsi:type="dcterms:W3CDTF">2019-09-19T15:15:00Z</dcterms:created>
  <dcterms:modified xsi:type="dcterms:W3CDTF">2022-04-15T23:02:00Z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