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70B08" w14:textId="2A8F4F7E" w:rsidR="00457029" w:rsidRPr="00027F90" w:rsidRDefault="00B13C7C" w:rsidP="00457029">
      <w:pPr>
        <w:pStyle w:val="NoSpacing"/>
        <w:jc w:val="center"/>
        <w:rPr>
          <w:b/>
          <w:sz w:val="44"/>
          <w:szCs w:val="44"/>
          <w:u w:val="single"/>
        </w:rPr>
      </w:pPr>
      <w:r>
        <w:rPr>
          <w:b/>
          <w:sz w:val="44"/>
          <w:szCs w:val="44"/>
          <w:u w:val="single"/>
        </w:rPr>
        <w:t>Electric</w:t>
      </w:r>
      <w:r w:rsidR="00437396">
        <w:rPr>
          <w:b/>
          <w:sz w:val="44"/>
          <w:szCs w:val="44"/>
          <w:u w:val="single"/>
        </w:rPr>
        <w:t xml:space="preserve"> </w:t>
      </w:r>
      <w:r>
        <w:rPr>
          <w:b/>
          <w:sz w:val="44"/>
          <w:szCs w:val="44"/>
          <w:u w:val="single"/>
        </w:rPr>
        <w:t>Susceptibilit</w:t>
      </w:r>
      <w:r w:rsidR="00564D47">
        <w:rPr>
          <w:b/>
          <w:sz w:val="44"/>
          <w:szCs w:val="44"/>
          <w:u w:val="single"/>
        </w:rPr>
        <w:t>y</w:t>
      </w:r>
    </w:p>
    <w:p w14:paraId="5D6E51E2" w14:textId="782152DC" w:rsidR="00457029" w:rsidRDefault="00457029" w:rsidP="00457029">
      <w:pPr>
        <w:pStyle w:val="NoSpacing"/>
      </w:pPr>
    </w:p>
    <w:p w14:paraId="3174C6C5" w14:textId="77777777" w:rsidR="004147B3" w:rsidRDefault="004147B3" w:rsidP="00457029">
      <w:pPr>
        <w:pStyle w:val="NoSpacing"/>
      </w:pPr>
    </w:p>
    <w:p w14:paraId="7502CBB2" w14:textId="3BAA4350" w:rsidR="00CC0429" w:rsidRPr="00C20BA7" w:rsidRDefault="00541700" w:rsidP="00457029">
      <w:pPr>
        <w:pStyle w:val="NoSpacing"/>
        <w:rPr>
          <w:sz w:val="24"/>
          <w:szCs w:val="24"/>
        </w:rPr>
      </w:pPr>
      <w:r>
        <w:rPr>
          <w:sz w:val="24"/>
          <w:szCs w:val="24"/>
        </w:rPr>
        <w:t xml:space="preserve">We’ll take a look at </w:t>
      </w:r>
      <w:r w:rsidR="00C11E0E">
        <w:rPr>
          <w:sz w:val="24"/>
          <w:szCs w:val="24"/>
        </w:rPr>
        <w:t>the electric</w:t>
      </w:r>
      <w:r w:rsidR="00437396">
        <w:rPr>
          <w:sz w:val="24"/>
          <w:szCs w:val="24"/>
        </w:rPr>
        <w:t>, magnetic</w:t>
      </w:r>
      <w:r w:rsidR="00C11E0E">
        <w:rPr>
          <w:sz w:val="24"/>
          <w:szCs w:val="24"/>
        </w:rPr>
        <w:t xml:space="preserve"> susceptibility, such as it is</w:t>
      </w:r>
      <w:r w:rsidR="00161C63">
        <w:rPr>
          <w:sz w:val="24"/>
          <w:szCs w:val="24"/>
        </w:rPr>
        <w:t>,</w:t>
      </w:r>
      <w:r w:rsidR="00C11E0E">
        <w:rPr>
          <w:sz w:val="24"/>
          <w:szCs w:val="24"/>
        </w:rPr>
        <w:t xml:space="preserve"> in a non-interacting file.  </w:t>
      </w:r>
    </w:p>
    <w:p w14:paraId="6B022F52" w14:textId="19073D4F" w:rsidR="001E5411" w:rsidRDefault="001E5411" w:rsidP="0090277C">
      <w:pPr>
        <w:pStyle w:val="NoSpacing"/>
        <w:rPr>
          <w:rFonts w:cstheme="minorHAnsi"/>
          <w:sz w:val="24"/>
          <w:szCs w:val="24"/>
        </w:rPr>
      </w:pPr>
    </w:p>
    <w:p w14:paraId="45C7CD2D" w14:textId="7B5F7996" w:rsidR="00995B4D" w:rsidRPr="00AE31A1" w:rsidRDefault="00995B4D" w:rsidP="0090277C">
      <w:pPr>
        <w:pStyle w:val="NoSpacing"/>
        <w:rPr>
          <w:rFonts w:cstheme="minorHAnsi"/>
          <w:b/>
          <w:sz w:val="28"/>
          <w:szCs w:val="28"/>
        </w:rPr>
      </w:pPr>
      <w:r w:rsidRPr="00AE31A1">
        <w:rPr>
          <w:rFonts w:cstheme="minorHAnsi"/>
          <w:b/>
          <w:sz w:val="28"/>
          <w:szCs w:val="28"/>
        </w:rPr>
        <w:t>Electric Susceptibility</w:t>
      </w:r>
      <w:r w:rsidR="00877323">
        <w:rPr>
          <w:rFonts w:cstheme="minorHAnsi"/>
          <w:b/>
          <w:sz w:val="28"/>
          <w:szCs w:val="28"/>
        </w:rPr>
        <w:t xml:space="preserve"> Definitions</w:t>
      </w:r>
    </w:p>
    <w:p w14:paraId="340E7E21" w14:textId="6C344297" w:rsidR="00B95EB8" w:rsidRDefault="00161C63" w:rsidP="0090277C">
      <w:pPr>
        <w:pStyle w:val="NoSpacing"/>
        <w:rPr>
          <w:rFonts w:cstheme="minorHAnsi"/>
          <w:sz w:val="24"/>
          <w:szCs w:val="24"/>
        </w:rPr>
      </w:pPr>
      <w:r>
        <w:rPr>
          <w:rFonts w:cstheme="minorHAnsi"/>
          <w:sz w:val="24"/>
          <w:szCs w:val="24"/>
        </w:rPr>
        <w:t xml:space="preserve">So the general conceit of the electric susceptibility is that we have </w:t>
      </w:r>
      <w:r w:rsidR="00B95EB8">
        <w:rPr>
          <w:rFonts w:cstheme="minorHAnsi"/>
          <w:sz w:val="24"/>
          <w:szCs w:val="24"/>
        </w:rPr>
        <w:t>external</w:t>
      </w:r>
      <w:r>
        <w:rPr>
          <w:rFonts w:cstheme="minorHAnsi"/>
          <w:sz w:val="24"/>
          <w:szCs w:val="24"/>
        </w:rPr>
        <w:t xml:space="preserve"> charges, whose net </w:t>
      </w:r>
      <w:r w:rsidR="00B95EB8">
        <w:rPr>
          <w:rFonts w:cstheme="minorHAnsi"/>
          <w:sz w:val="24"/>
          <w:szCs w:val="24"/>
        </w:rPr>
        <w:t>external</w:t>
      </w:r>
      <w:r>
        <w:rPr>
          <w:rFonts w:cstheme="minorHAnsi"/>
          <w:sz w:val="24"/>
          <w:szCs w:val="24"/>
        </w:rPr>
        <w:t xml:space="preserve"> electric field induces an induced charge in the metal.  But to examine it a little further, the induced charges will then create their own net induced electric field, which will combine with the net </w:t>
      </w:r>
      <w:r w:rsidR="00B95EB8">
        <w:rPr>
          <w:rFonts w:cstheme="minorHAnsi"/>
          <w:sz w:val="24"/>
          <w:szCs w:val="24"/>
        </w:rPr>
        <w:t>external</w:t>
      </w:r>
      <w:r>
        <w:rPr>
          <w:rFonts w:cstheme="minorHAnsi"/>
          <w:sz w:val="24"/>
          <w:szCs w:val="24"/>
        </w:rPr>
        <w:t xml:space="preserve"> electric field, and this total field is what will have the final say on the positions/movements of the induced charges.  </w:t>
      </w:r>
      <w:r w:rsidR="002C056C">
        <w:rPr>
          <w:rFonts w:cstheme="minorHAnsi"/>
          <w:sz w:val="24"/>
          <w:szCs w:val="24"/>
        </w:rPr>
        <w:t>But in a Free</w:t>
      </w:r>
      <w:r w:rsidR="003C7F1B">
        <w:rPr>
          <w:rFonts w:cstheme="minorHAnsi"/>
          <w:sz w:val="24"/>
          <w:szCs w:val="24"/>
        </w:rPr>
        <w:t xml:space="preserve"> </w:t>
      </w:r>
      <w:r w:rsidR="002C056C">
        <w:rPr>
          <w:rFonts w:cstheme="minorHAnsi"/>
          <w:sz w:val="24"/>
          <w:szCs w:val="24"/>
        </w:rPr>
        <w:t>Electrons folder, we can’t have electrons interacting with each other</w:t>
      </w:r>
      <w:r w:rsidR="00B95EB8">
        <w:rPr>
          <w:rFonts w:cstheme="minorHAnsi"/>
          <w:sz w:val="24"/>
          <w:szCs w:val="24"/>
        </w:rPr>
        <w:t xml:space="preserve"> (except maybe via the Pauli Exclusion Principle)</w:t>
      </w:r>
      <w:r w:rsidR="002C056C">
        <w:rPr>
          <w:rFonts w:cstheme="minorHAnsi"/>
          <w:sz w:val="24"/>
          <w:szCs w:val="24"/>
        </w:rPr>
        <w:t xml:space="preserve">.  So they can’t respond to each other’s fields.  </w:t>
      </w:r>
      <w:r w:rsidR="00E13B41">
        <w:rPr>
          <w:rFonts w:cstheme="minorHAnsi"/>
          <w:sz w:val="24"/>
          <w:szCs w:val="24"/>
        </w:rPr>
        <w:t>And</w:t>
      </w:r>
      <w:r w:rsidR="002C056C">
        <w:rPr>
          <w:rFonts w:cstheme="minorHAnsi"/>
          <w:sz w:val="24"/>
          <w:szCs w:val="24"/>
        </w:rPr>
        <w:t xml:space="preserve"> since electrons really respond to the </w:t>
      </w:r>
      <w:r w:rsidR="002C056C" w:rsidRPr="003C7F1B">
        <w:rPr>
          <w:rFonts w:cstheme="minorHAnsi"/>
          <w:i/>
          <w:sz w:val="24"/>
          <w:szCs w:val="24"/>
        </w:rPr>
        <w:t>total</w:t>
      </w:r>
      <w:r w:rsidR="002C056C">
        <w:rPr>
          <w:rFonts w:cstheme="minorHAnsi"/>
          <w:sz w:val="24"/>
          <w:szCs w:val="24"/>
        </w:rPr>
        <w:t xml:space="preserve"> </w:t>
      </w:r>
      <w:r w:rsidR="003C7F1B">
        <w:rPr>
          <w:rFonts w:cstheme="minorHAnsi"/>
          <w:sz w:val="24"/>
          <w:szCs w:val="24"/>
        </w:rPr>
        <w:t xml:space="preserve">(induced plus external) </w:t>
      </w:r>
      <w:r w:rsidR="002C056C">
        <w:rPr>
          <w:rFonts w:cstheme="minorHAnsi"/>
          <w:sz w:val="24"/>
          <w:szCs w:val="24"/>
        </w:rPr>
        <w:t>field present, and since they are only allowed to respond to the external field, this means that they can’t really even create fields themselves.</w:t>
      </w:r>
      <w:r>
        <w:rPr>
          <w:rFonts w:cstheme="minorHAnsi"/>
          <w:sz w:val="24"/>
          <w:szCs w:val="24"/>
        </w:rPr>
        <w:t xml:space="preserve"> </w:t>
      </w:r>
      <w:r w:rsidR="003C7F1B">
        <w:rPr>
          <w:rFonts w:cstheme="minorHAnsi"/>
          <w:sz w:val="24"/>
          <w:szCs w:val="24"/>
        </w:rPr>
        <w:t xml:space="preserve"> </w:t>
      </w:r>
    </w:p>
    <w:p w14:paraId="28B668FE" w14:textId="77777777" w:rsidR="00B95EB8" w:rsidRDefault="00B95EB8" w:rsidP="0090277C">
      <w:pPr>
        <w:pStyle w:val="NoSpacing"/>
        <w:rPr>
          <w:rFonts w:cstheme="minorHAnsi"/>
          <w:sz w:val="24"/>
          <w:szCs w:val="24"/>
        </w:rPr>
      </w:pPr>
    </w:p>
    <w:p w14:paraId="514EF19F" w14:textId="646136F2" w:rsidR="00B95EB8" w:rsidRDefault="00B95EB8" w:rsidP="0090277C">
      <w:pPr>
        <w:pStyle w:val="NoSpacing"/>
        <w:rPr>
          <w:rFonts w:ascii="Calibri" w:hAnsi="Calibri" w:cs="Calibri"/>
          <w:sz w:val="24"/>
          <w:szCs w:val="24"/>
        </w:rPr>
      </w:pPr>
      <w:r>
        <w:rPr>
          <w:rFonts w:cstheme="minorHAnsi"/>
          <w:sz w:val="24"/>
          <w:szCs w:val="24"/>
        </w:rPr>
        <w:t>So in this case,</w:t>
      </w:r>
      <w:r w:rsidR="00EE23E8">
        <w:rPr>
          <w:rFonts w:cstheme="minorHAnsi"/>
          <w:sz w:val="24"/>
          <w:szCs w:val="24"/>
        </w:rPr>
        <w:t xml:space="preserve"> we’</w:t>
      </w:r>
      <w:r>
        <w:rPr>
          <w:rFonts w:cstheme="minorHAnsi"/>
          <w:sz w:val="24"/>
          <w:szCs w:val="24"/>
        </w:rPr>
        <w:t>ll</w:t>
      </w:r>
      <w:r w:rsidR="00EE23E8">
        <w:rPr>
          <w:rFonts w:cstheme="minorHAnsi"/>
          <w:sz w:val="24"/>
          <w:szCs w:val="24"/>
        </w:rPr>
        <w:t xml:space="preserve"> have</w:t>
      </w:r>
      <w:r w:rsidR="003C7F1B">
        <w:rPr>
          <w:rFonts w:cstheme="minorHAnsi"/>
          <w:sz w:val="24"/>
          <w:szCs w:val="24"/>
        </w:rPr>
        <w:t xml:space="preserve"> an electric susceptibility</w:t>
      </w:r>
      <w:r w:rsidR="00EE23E8">
        <w:rPr>
          <w:rFonts w:cstheme="minorHAnsi"/>
          <w:sz w:val="24"/>
          <w:szCs w:val="24"/>
        </w:rPr>
        <w:t xml:space="preserve"> </w:t>
      </w:r>
      <w:r w:rsidR="00EE23E8">
        <w:rPr>
          <w:rFonts w:ascii="Calibri" w:hAnsi="Calibri" w:cs="Calibri"/>
          <w:sz w:val="24"/>
          <w:szCs w:val="24"/>
        </w:rPr>
        <w:t>χ</w:t>
      </w:r>
      <w:r w:rsidR="00EE23E8">
        <w:rPr>
          <w:rFonts w:ascii="Calibri" w:hAnsi="Calibri" w:cs="Calibri"/>
          <w:sz w:val="24"/>
          <w:szCs w:val="24"/>
          <w:vertAlign w:val="subscript"/>
        </w:rPr>
        <w:t>irr</w:t>
      </w:r>
      <w:r w:rsidR="0049373C">
        <w:rPr>
          <w:rFonts w:ascii="Calibri" w:hAnsi="Calibri" w:cs="Calibri"/>
          <w:sz w:val="24"/>
          <w:szCs w:val="24"/>
        </w:rPr>
        <w:t>(q</w:t>
      </w:r>
      <w:r w:rsidR="00E13B41">
        <w:rPr>
          <w:rFonts w:ascii="Calibri" w:hAnsi="Calibri" w:cs="Calibri"/>
          <w:sz w:val="24"/>
          <w:szCs w:val="24"/>
        </w:rPr>
        <w:t>,ω</w:t>
      </w:r>
      <w:r w:rsidR="0049373C">
        <w:rPr>
          <w:rFonts w:ascii="Calibri" w:hAnsi="Calibri" w:cs="Calibri"/>
          <w:sz w:val="24"/>
          <w:szCs w:val="24"/>
        </w:rPr>
        <w:t>)</w:t>
      </w:r>
      <w:r w:rsidR="00EE23E8">
        <w:rPr>
          <w:rFonts w:ascii="Calibri" w:hAnsi="Calibri" w:cs="Calibri"/>
          <w:sz w:val="24"/>
          <w:szCs w:val="24"/>
        </w:rPr>
        <w:t xml:space="preserve"> = something. </w:t>
      </w:r>
      <w:r w:rsidR="0049373C">
        <w:rPr>
          <w:rFonts w:ascii="Calibri" w:hAnsi="Calibri" w:cs="Calibri"/>
          <w:sz w:val="24"/>
          <w:szCs w:val="24"/>
        </w:rPr>
        <w:t xml:space="preserve"> But </w:t>
      </w:r>
      <w:r>
        <w:rPr>
          <w:rFonts w:ascii="Calibri" w:hAnsi="Calibri" w:cs="Calibri"/>
          <w:sz w:val="24"/>
          <w:szCs w:val="24"/>
        </w:rPr>
        <w:t>there will</w:t>
      </w:r>
      <w:r w:rsidR="0049373C">
        <w:rPr>
          <w:rFonts w:ascii="Calibri" w:hAnsi="Calibri" w:cs="Calibri"/>
          <w:sz w:val="24"/>
          <w:szCs w:val="24"/>
        </w:rPr>
        <w:t xml:space="preserve"> be no distinction (below) between φ and φ</w:t>
      </w:r>
      <w:r w:rsidR="0049373C">
        <w:rPr>
          <w:rFonts w:ascii="Calibri" w:hAnsi="Calibri" w:cs="Calibri"/>
          <w:sz w:val="24"/>
          <w:szCs w:val="24"/>
          <w:vertAlign w:val="subscript"/>
        </w:rPr>
        <w:t>f</w:t>
      </w:r>
      <w:r w:rsidR="00E13B41">
        <w:rPr>
          <w:rFonts w:ascii="Calibri" w:hAnsi="Calibri" w:cs="Calibri"/>
          <w:sz w:val="24"/>
          <w:szCs w:val="24"/>
        </w:rPr>
        <w:t xml:space="preserve"> (φ</w:t>
      </w:r>
      <w:r w:rsidR="00E13B41">
        <w:rPr>
          <w:rFonts w:ascii="Calibri" w:hAnsi="Calibri" w:cs="Calibri"/>
          <w:sz w:val="24"/>
          <w:szCs w:val="24"/>
          <w:vertAlign w:val="subscript"/>
        </w:rPr>
        <w:t>f</w:t>
      </w:r>
      <w:r w:rsidR="00E13B41">
        <w:rPr>
          <w:rFonts w:ascii="Calibri" w:hAnsi="Calibri" w:cs="Calibri"/>
          <w:sz w:val="24"/>
          <w:szCs w:val="24"/>
        </w:rPr>
        <w:t xml:space="preserve"> = potential coming from external charges)</w:t>
      </w:r>
      <w:r w:rsidR="0049373C">
        <w:rPr>
          <w:rFonts w:ascii="Calibri" w:hAnsi="Calibri" w:cs="Calibri"/>
          <w:sz w:val="24"/>
          <w:szCs w:val="24"/>
        </w:rPr>
        <w:t>, the potential coming from all charges vs. the potential coming from the test charges, because the induced charges</w:t>
      </w:r>
      <w:r w:rsidR="00991DAB">
        <w:rPr>
          <w:rFonts w:ascii="Calibri" w:hAnsi="Calibri" w:cs="Calibri"/>
          <w:sz w:val="24"/>
          <w:szCs w:val="24"/>
        </w:rPr>
        <w:t>,</w:t>
      </w:r>
      <w:r w:rsidR="0049373C">
        <w:rPr>
          <w:rFonts w:ascii="Calibri" w:hAnsi="Calibri" w:cs="Calibri"/>
          <w:sz w:val="24"/>
          <w:szCs w:val="24"/>
        </w:rPr>
        <w:t xml:space="preserve"> whose response we want to calculate</w:t>
      </w:r>
      <w:r w:rsidR="00991DAB">
        <w:rPr>
          <w:rFonts w:ascii="Calibri" w:hAnsi="Calibri" w:cs="Calibri"/>
          <w:sz w:val="24"/>
          <w:szCs w:val="24"/>
        </w:rPr>
        <w:t>,</w:t>
      </w:r>
      <w:r w:rsidR="0049373C">
        <w:rPr>
          <w:rFonts w:ascii="Calibri" w:hAnsi="Calibri" w:cs="Calibri"/>
          <w:sz w:val="24"/>
          <w:szCs w:val="24"/>
        </w:rPr>
        <w:t xml:space="preserve"> cannot create a field of their own if they don’t interact with each other. </w:t>
      </w:r>
      <w:r w:rsidR="00EE23E8">
        <w:rPr>
          <w:rFonts w:ascii="Calibri" w:hAnsi="Calibri" w:cs="Calibri"/>
          <w:sz w:val="24"/>
          <w:szCs w:val="24"/>
        </w:rPr>
        <w:t xml:space="preserve"> </w:t>
      </w:r>
      <w:r w:rsidR="0049373C">
        <w:rPr>
          <w:rFonts w:ascii="Calibri" w:hAnsi="Calibri" w:cs="Calibri"/>
          <w:sz w:val="24"/>
          <w:szCs w:val="24"/>
        </w:rPr>
        <w:t>So then ε(q) would be the same as ε</w:t>
      </w:r>
      <w:r w:rsidR="0049373C">
        <w:rPr>
          <w:rFonts w:ascii="Calibri" w:hAnsi="Calibri" w:cs="Calibri"/>
          <w:sz w:val="24"/>
          <w:szCs w:val="24"/>
          <w:vertAlign w:val="subscript"/>
        </w:rPr>
        <w:t>0</w:t>
      </w:r>
      <w:r w:rsidR="0049373C">
        <w:rPr>
          <w:rFonts w:ascii="Calibri" w:hAnsi="Calibri" w:cs="Calibri"/>
          <w:sz w:val="24"/>
          <w:szCs w:val="24"/>
        </w:rPr>
        <w:t xml:space="preserve"> (or, 1, in our faux Gaussian units).  And then χ(q</w:t>
      </w:r>
      <w:r>
        <w:rPr>
          <w:rFonts w:ascii="Calibri" w:hAnsi="Calibri" w:cs="Calibri"/>
          <w:sz w:val="24"/>
          <w:szCs w:val="24"/>
        </w:rPr>
        <w:t>,ω</w:t>
      </w:r>
      <w:r w:rsidR="0049373C">
        <w:rPr>
          <w:rFonts w:ascii="Calibri" w:hAnsi="Calibri" w:cs="Calibri"/>
          <w:sz w:val="24"/>
          <w:szCs w:val="24"/>
        </w:rPr>
        <w:t>)</w:t>
      </w:r>
      <w:r w:rsidR="00EE23E8">
        <w:rPr>
          <w:rFonts w:ascii="Calibri" w:hAnsi="Calibri" w:cs="Calibri"/>
          <w:sz w:val="24"/>
          <w:szCs w:val="24"/>
        </w:rPr>
        <w:t xml:space="preserve"> would have to equal χ</w:t>
      </w:r>
      <w:r w:rsidR="00EE23E8">
        <w:rPr>
          <w:rFonts w:ascii="Calibri" w:hAnsi="Calibri" w:cs="Calibri"/>
          <w:sz w:val="24"/>
          <w:szCs w:val="24"/>
          <w:vertAlign w:val="subscript"/>
        </w:rPr>
        <w:t>irr</w:t>
      </w:r>
      <w:r w:rsidR="0049373C">
        <w:rPr>
          <w:rFonts w:ascii="Calibri" w:hAnsi="Calibri" w:cs="Calibri"/>
          <w:sz w:val="24"/>
          <w:szCs w:val="24"/>
        </w:rPr>
        <w:t>(q</w:t>
      </w:r>
      <w:r>
        <w:rPr>
          <w:rFonts w:ascii="Calibri" w:hAnsi="Calibri" w:cs="Calibri"/>
          <w:sz w:val="24"/>
          <w:szCs w:val="24"/>
        </w:rPr>
        <w:t>,ω</w:t>
      </w:r>
      <w:r w:rsidR="0049373C">
        <w:rPr>
          <w:rFonts w:ascii="Calibri" w:hAnsi="Calibri" w:cs="Calibri"/>
          <w:sz w:val="24"/>
          <w:szCs w:val="24"/>
        </w:rPr>
        <w:t>)</w:t>
      </w:r>
      <w:r w:rsidR="00EE23E8">
        <w:rPr>
          <w:rFonts w:ascii="Calibri" w:hAnsi="Calibri" w:cs="Calibri"/>
          <w:sz w:val="24"/>
          <w:szCs w:val="24"/>
        </w:rPr>
        <w:t xml:space="preserve">. </w:t>
      </w:r>
      <w:r w:rsidR="00EE23E8">
        <w:rPr>
          <w:rFonts w:cstheme="minorHAnsi"/>
          <w:sz w:val="24"/>
          <w:szCs w:val="24"/>
        </w:rPr>
        <w:t xml:space="preserve"> </w:t>
      </w:r>
      <w:r w:rsidR="0049373C">
        <w:rPr>
          <w:rFonts w:cstheme="minorHAnsi"/>
          <w:sz w:val="24"/>
          <w:szCs w:val="24"/>
        </w:rPr>
        <w:t>So we’d no longer have</w:t>
      </w:r>
      <w:r>
        <w:rPr>
          <w:rFonts w:cstheme="minorHAnsi"/>
          <w:sz w:val="24"/>
          <w:szCs w:val="24"/>
        </w:rPr>
        <w:t xml:space="preserve"> the equation</w:t>
      </w:r>
      <w:r w:rsidR="0049373C">
        <w:rPr>
          <w:rFonts w:cstheme="minorHAnsi"/>
          <w:sz w:val="24"/>
          <w:szCs w:val="24"/>
        </w:rPr>
        <w:t xml:space="preserve"> </w:t>
      </w:r>
      <w:r w:rsidR="0049373C">
        <w:rPr>
          <w:rFonts w:ascii="Calibri" w:hAnsi="Calibri" w:cs="Calibri"/>
          <w:sz w:val="24"/>
          <w:szCs w:val="24"/>
        </w:rPr>
        <w:t>ε(q</w:t>
      </w:r>
      <w:r>
        <w:rPr>
          <w:rFonts w:ascii="Calibri" w:hAnsi="Calibri" w:cs="Calibri"/>
          <w:sz w:val="24"/>
          <w:szCs w:val="24"/>
        </w:rPr>
        <w:t>,ω</w:t>
      </w:r>
      <w:r w:rsidR="0049373C">
        <w:rPr>
          <w:rFonts w:ascii="Calibri" w:hAnsi="Calibri" w:cs="Calibri"/>
          <w:sz w:val="24"/>
          <w:szCs w:val="24"/>
        </w:rPr>
        <w:t>)</w:t>
      </w:r>
      <w:r w:rsidR="0049373C">
        <w:rPr>
          <w:rFonts w:cstheme="minorHAnsi"/>
          <w:sz w:val="24"/>
          <w:szCs w:val="24"/>
        </w:rPr>
        <w:t xml:space="preserve"> = 1 – v(q)</w:t>
      </w:r>
      <w:r w:rsidR="0049373C">
        <w:rPr>
          <w:rFonts w:ascii="Calibri" w:hAnsi="Calibri" w:cs="Calibri"/>
          <w:sz w:val="24"/>
          <w:szCs w:val="24"/>
        </w:rPr>
        <w:t>χ</w:t>
      </w:r>
      <w:r w:rsidR="0049373C">
        <w:rPr>
          <w:rFonts w:ascii="Calibri" w:hAnsi="Calibri" w:cs="Calibri"/>
          <w:sz w:val="24"/>
          <w:szCs w:val="24"/>
          <w:vertAlign w:val="subscript"/>
        </w:rPr>
        <w:t>irr</w:t>
      </w:r>
      <w:r w:rsidR="0049373C">
        <w:rPr>
          <w:rFonts w:ascii="Calibri" w:hAnsi="Calibri" w:cs="Calibri"/>
          <w:sz w:val="24"/>
          <w:szCs w:val="24"/>
        </w:rPr>
        <w:t>(q</w:t>
      </w:r>
      <w:r>
        <w:rPr>
          <w:rFonts w:ascii="Calibri" w:hAnsi="Calibri" w:cs="Calibri"/>
          <w:sz w:val="24"/>
          <w:szCs w:val="24"/>
        </w:rPr>
        <w:t>,ω</w:t>
      </w:r>
      <w:r w:rsidR="0049373C">
        <w:rPr>
          <w:rFonts w:ascii="Calibri" w:hAnsi="Calibri" w:cs="Calibri"/>
          <w:sz w:val="24"/>
          <w:szCs w:val="24"/>
        </w:rPr>
        <w:t xml:space="preserve">). </w:t>
      </w:r>
      <w:r w:rsidR="0049373C">
        <w:rPr>
          <w:rFonts w:cstheme="minorHAnsi"/>
          <w:sz w:val="24"/>
          <w:szCs w:val="24"/>
        </w:rPr>
        <w:t xml:space="preserve"> </w:t>
      </w:r>
      <w:r w:rsidR="003C7F1B">
        <w:rPr>
          <w:rFonts w:cstheme="minorHAnsi"/>
          <w:sz w:val="24"/>
          <w:szCs w:val="24"/>
        </w:rPr>
        <w:t xml:space="preserve">This is necessary, because we can/will calculate </w:t>
      </w:r>
      <w:r w:rsidR="003C7F1B">
        <w:rPr>
          <w:rFonts w:ascii="Calibri" w:hAnsi="Calibri" w:cs="Calibri"/>
          <w:sz w:val="24"/>
          <w:szCs w:val="24"/>
        </w:rPr>
        <w:t>χ</w:t>
      </w:r>
      <w:r w:rsidR="003C7F1B">
        <w:rPr>
          <w:rFonts w:cstheme="minorHAnsi"/>
          <w:sz w:val="24"/>
          <w:szCs w:val="24"/>
          <w:vertAlign w:val="subscript"/>
        </w:rPr>
        <w:t>irr</w:t>
      </w:r>
      <w:r w:rsidR="003C7F1B">
        <w:rPr>
          <w:rFonts w:cstheme="minorHAnsi"/>
          <w:sz w:val="24"/>
          <w:szCs w:val="24"/>
        </w:rPr>
        <w:t>(q,</w:t>
      </w:r>
      <w:r w:rsidR="003C7F1B">
        <w:rPr>
          <w:rFonts w:ascii="Calibri" w:hAnsi="Calibri" w:cs="Calibri"/>
          <w:sz w:val="24"/>
          <w:szCs w:val="24"/>
        </w:rPr>
        <w:t>ω</w:t>
      </w:r>
      <w:r w:rsidR="003C7F1B">
        <w:rPr>
          <w:rFonts w:cstheme="minorHAnsi"/>
          <w:sz w:val="24"/>
          <w:szCs w:val="24"/>
        </w:rPr>
        <w:t>) in this folder</w:t>
      </w:r>
      <w:r>
        <w:rPr>
          <w:rFonts w:cstheme="minorHAnsi"/>
          <w:sz w:val="24"/>
          <w:szCs w:val="24"/>
        </w:rPr>
        <w:t xml:space="preserve">.  And we’ll see it has an imaginary part.  But then this would imply the absorptivity </w:t>
      </w:r>
      <w:r>
        <w:rPr>
          <w:rFonts w:cstheme="minorHAnsi"/>
          <w:sz w:val="24"/>
          <w:szCs w:val="24"/>
        </w:rPr>
        <w:t>A(q,</w:t>
      </w:r>
      <w:r>
        <w:rPr>
          <w:rFonts w:ascii="Calibri" w:hAnsi="Calibri" w:cs="Calibri"/>
          <w:sz w:val="24"/>
          <w:szCs w:val="24"/>
        </w:rPr>
        <w:t>ω</w:t>
      </w:r>
      <w:r>
        <w:rPr>
          <w:rFonts w:cstheme="minorHAnsi"/>
          <w:sz w:val="24"/>
          <w:szCs w:val="24"/>
        </w:rPr>
        <w:t>)=</w:t>
      </w:r>
      <w:r>
        <w:rPr>
          <w:rFonts w:ascii="Calibri" w:hAnsi="Calibri" w:cs="Calibri"/>
          <w:sz w:val="24"/>
          <w:szCs w:val="24"/>
        </w:rPr>
        <w:t>ω</w:t>
      </w:r>
      <w:r>
        <w:rPr>
          <w:rFonts w:cstheme="minorHAnsi"/>
          <w:sz w:val="24"/>
          <w:szCs w:val="24"/>
        </w:rPr>
        <w:t>Im</w:t>
      </w:r>
      <w:r>
        <w:rPr>
          <w:rFonts w:ascii="Calibri" w:hAnsi="Calibri" w:cs="Calibri"/>
          <w:sz w:val="24"/>
          <w:szCs w:val="24"/>
        </w:rPr>
        <w:t>ε</w:t>
      </w:r>
      <w:r>
        <w:rPr>
          <w:rFonts w:ascii="Calibri" w:hAnsi="Calibri" w:cs="Calibri"/>
          <w:sz w:val="24"/>
          <w:szCs w:val="24"/>
          <w:vertAlign w:val="subscript"/>
        </w:rPr>
        <w:t>eff</w:t>
      </w:r>
      <w:r>
        <w:rPr>
          <w:rFonts w:ascii="Calibri" w:hAnsi="Calibri" w:cs="Calibri"/>
          <w:sz w:val="24"/>
          <w:szCs w:val="24"/>
        </w:rPr>
        <w:t>(q,ω)</w:t>
      </w:r>
      <w:r>
        <w:rPr>
          <w:rFonts w:ascii="Calibri" w:hAnsi="Calibri" w:cs="Calibri"/>
          <w:sz w:val="24"/>
          <w:szCs w:val="24"/>
        </w:rPr>
        <w:t xml:space="preserve"> is non-zero.  But this would mean that photons are being absorbed by electrons (manifested by plasmons) even while there is no place (plasmons) for the energy to go.  </w:t>
      </w:r>
    </w:p>
    <w:p w14:paraId="561E625A" w14:textId="77777777" w:rsidR="00B95EB8" w:rsidRDefault="00B95EB8" w:rsidP="0090277C">
      <w:pPr>
        <w:pStyle w:val="NoSpacing"/>
        <w:rPr>
          <w:rFonts w:ascii="Calibri" w:hAnsi="Calibri" w:cs="Calibri"/>
          <w:sz w:val="24"/>
          <w:szCs w:val="24"/>
        </w:rPr>
      </w:pPr>
    </w:p>
    <w:p w14:paraId="17ECFC45" w14:textId="2A1E17A2" w:rsidR="00995B4D" w:rsidRDefault="009D4B28" w:rsidP="0090277C">
      <w:pPr>
        <w:pStyle w:val="NoSpacing"/>
        <w:rPr>
          <w:rFonts w:cstheme="minorHAnsi"/>
          <w:sz w:val="24"/>
          <w:szCs w:val="24"/>
        </w:rPr>
      </w:pPr>
      <w:r>
        <w:rPr>
          <w:rFonts w:cstheme="minorHAnsi"/>
          <w:sz w:val="24"/>
          <w:szCs w:val="24"/>
        </w:rPr>
        <w:t>So</w:t>
      </w:r>
      <w:r w:rsidR="00B95EB8">
        <w:rPr>
          <w:rFonts w:cstheme="minorHAnsi"/>
          <w:sz w:val="24"/>
          <w:szCs w:val="24"/>
        </w:rPr>
        <w:t xml:space="preserve"> with this in mind,</w:t>
      </w:r>
      <w:r>
        <w:rPr>
          <w:rFonts w:cstheme="minorHAnsi"/>
          <w:sz w:val="24"/>
          <w:szCs w:val="24"/>
        </w:rPr>
        <w:t xml:space="preserve"> I guess we can go ahead and calculate </w:t>
      </w:r>
      <w:r>
        <w:rPr>
          <w:rFonts w:ascii="Calibri" w:hAnsi="Calibri" w:cs="Calibri"/>
          <w:sz w:val="24"/>
          <w:szCs w:val="24"/>
        </w:rPr>
        <w:t>χ</w:t>
      </w:r>
      <w:r>
        <w:rPr>
          <w:rFonts w:ascii="Calibri" w:hAnsi="Calibri" w:cs="Calibri"/>
          <w:sz w:val="24"/>
          <w:szCs w:val="24"/>
          <w:vertAlign w:val="subscript"/>
        </w:rPr>
        <w:t>irr</w:t>
      </w:r>
      <w:r>
        <w:rPr>
          <w:rFonts w:ascii="Calibri" w:hAnsi="Calibri" w:cs="Calibri"/>
          <w:sz w:val="24"/>
          <w:szCs w:val="24"/>
        </w:rPr>
        <w:t>(q)</w:t>
      </w:r>
      <w:r w:rsidR="00E13B41">
        <w:rPr>
          <w:rFonts w:ascii="Calibri" w:hAnsi="Calibri" w:cs="Calibri"/>
          <w:sz w:val="24"/>
          <w:szCs w:val="24"/>
        </w:rPr>
        <w:t>, and simultaneously stipulate ε(q) = 1</w:t>
      </w:r>
      <w:r>
        <w:rPr>
          <w:rFonts w:ascii="Calibri" w:hAnsi="Calibri" w:cs="Calibri"/>
          <w:sz w:val="24"/>
          <w:szCs w:val="24"/>
        </w:rPr>
        <w:t xml:space="preserve">.  </w:t>
      </w:r>
      <w:r w:rsidR="00E13B41">
        <w:rPr>
          <w:rFonts w:ascii="Calibri" w:hAnsi="Calibri" w:cs="Calibri"/>
          <w:sz w:val="24"/>
          <w:szCs w:val="24"/>
        </w:rPr>
        <w:t>And this</w:t>
      </w:r>
      <w:r>
        <w:rPr>
          <w:rFonts w:cstheme="minorHAnsi"/>
          <w:sz w:val="24"/>
          <w:szCs w:val="24"/>
        </w:rPr>
        <w:t xml:space="preserve"> </w:t>
      </w:r>
      <w:r w:rsidR="00E13B41">
        <w:rPr>
          <w:rFonts w:cstheme="minorHAnsi"/>
          <w:sz w:val="24"/>
          <w:szCs w:val="24"/>
        </w:rPr>
        <w:t xml:space="preserve">means that we’ll be calculating the induced charges response to the external charges, but nothing else, so far.  </w:t>
      </w:r>
      <w:r w:rsidR="00877323">
        <w:rPr>
          <w:rFonts w:cstheme="minorHAnsi"/>
          <w:sz w:val="24"/>
          <w:szCs w:val="24"/>
        </w:rPr>
        <w:t xml:space="preserve">That will be sufficient to calculate the ‘free’ electron dielectric suseptibility.  In the e-e interaction folder, we’ll look at corrections to this result.  </w:t>
      </w:r>
    </w:p>
    <w:p w14:paraId="5E157E87" w14:textId="79A3ED89" w:rsidR="00877323" w:rsidRDefault="00877323" w:rsidP="0090277C">
      <w:pPr>
        <w:pStyle w:val="NoSpacing"/>
        <w:rPr>
          <w:rFonts w:cstheme="minorHAnsi"/>
          <w:sz w:val="24"/>
          <w:szCs w:val="24"/>
        </w:rPr>
      </w:pPr>
    </w:p>
    <w:p w14:paraId="2215F496" w14:textId="73FB2013" w:rsidR="00877323" w:rsidRPr="00877323" w:rsidRDefault="0017091F" w:rsidP="00877323">
      <w:pPr>
        <w:pStyle w:val="NoSpacing"/>
        <w:rPr>
          <w:sz w:val="24"/>
          <w:szCs w:val="24"/>
        </w:rPr>
      </w:pPr>
      <w:r>
        <w:rPr>
          <w:sz w:val="24"/>
          <w:szCs w:val="24"/>
        </w:rPr>
        <w:t xml:space="preserve">For review, I’m going to reproduce the discussion in the EM folder/Metals file.  </w:t>
      </w:r>
      <w:r w:rsidR="00877323" w:rsidRPr="00877323">
        <w:rPr>
          <w:sz w:val="24"/>
          <w:szCs w:val="24"/>
        </w:rPr>
        <w:t xml:space="preserve">So the conceit is that we introduce a free charge/current density, which gives rise to free fields, and ultimately induces a responsive charge/current density. </w:t>
      </w:r>
      <w:r w:rsidR="00C11E0E">
        <w:rPr>
          <w:sz w:val="24"/>
          <w:szCs w:val="24"/>
        </w:rPr>
        <w:t xml:space="preserve"> We would calculate this via thermodynamic means, as in the time-independent case, the system will have settled down into thermal equilibrium. </w:t>
      </w:r>
      <w:r w:rsidR="00877323" w:rsidRPr="00877323">
        <w:rPr>
          <w:sz w:val="24"/>
          <w:szCs w:val="24"/>
        </w:rPr>
        <w:t xml:space="preserve"> I’ll redo the analysis we did in EM file for metals, because of the slightly different pre-factors we’re using, mainly due to fact we’re in fake ‘Gaussian’ units now [basically can go from SI to fake Gaussian by </w:t>
      </w:r>
      <w:r w:rsidR="00877323" w:rsidRPr="00877323">
        <w:rPr>
          <w:rFonts w:ascii="Calibri" w:hAnsi="Calibri" w:cs="Calibri"/>
          <w:sz w:val="24"/>
          <w:szCs w:val="24"/>
        </w:rPr>
        <w:t>ε</w:t>
      </w:r>
      <w:r w:rsidR="00877323" w:rsidRPr="00877323">
        <w:rPr>
          <w:sz w:val="24"/>
          <w:szCs w:val="24"/>
          <w:vertAlign w:val="subscript"/>
        </w:rPr>
        <w:t>0</w:t>
      </w:r>
      <w:r w:rsidR="00877323" w:rsidRPr="00877323">
        <w:rPr>
          <w:sz w:val="24"/>
          <w:szCs w:val="24"/>
        </w:rPr>
        <w:t xml:space="preserve"> → 1/4</w:t>
      </w:r>
      <w:r w:rsidR="00877323" w:rsidRPr="00877323">
        <w:rPr>
          <w:rFonts w:ascii="Calibri" w:hAnsi="Calibri" w:cs="Calibri"/>
          <w:sz w:val="24"/>
          <w:szCs w:val="24"/>
        </w:rPr>
        <w:t>π</w:t>
      </w:r>
      <w:r w:rsidR="00877323" w:rsidRPr="00877323">
        <w:rPr>
          <w:sz w:val="24"/>
          <w:szCs w:val="24"/>
        </w:rPr>
        <w:t xml:space="preserve">, </w:t>
      </w:r>
      <w:r w:rsidR="00877323" w:rsidRPr="00877323">
        <w:rPr>
          <w:rFonts w:ascii="Calibri" w:hAnsi="Calibri" w:cs="Calibri"/>
          <w:sz w:val="24"/>
          <w:szCs w:val="24"/>
        </w:rPr>
        <w:t>μ</w:t>
      </w:r>
      <w:r w:rsidR="00877323" w:rsidRPr="00877323">
        <w:rPr>
          <w:sz w:val="24"/>
          <w:szCs w:val="24"/>
          <w:vertAlign w:val="subscript"/>
        </w:rPr>
        <w:t>0</w:t>
      </w:r>
      <w:r w:rsidR="00877323" w:rsidRPr="00877323">
        <w:rPr>
          <w:sz w:val="24"/>
          <w:szCs w:val="24"/>
        </w:rPr>
        <w:t xml:space="preserve"> → 4</w:t>
      </w:r>
      <w:r w:rsidR="00877323" w:rsidRPr="00877323">
        <w:rPr>
          <w:rFonts w:ascii="Calibri" w:hAnsi="Calibri" w:cs="Calibri"/>
          <w:sz w:val="24"/>
          <w:szCs w:val="24"/>
        </w:rPr>
        <w:t>π</w:t>
      </w:r>
      <w:r w:rsidR="00877323" w:rsidRPr="00877323">
        <w:rPr>
          <w:sz w:val="24"/>
          <w:szCs w:val="24"/>
        </w:rPr>
        <w:t>].  Referring to the Units file, if we were to take the electric susceptibility equation:</w:t>
      </w:r>
    </w:p>
    <w:p w14:paraId="3F54F077" w14:textId="77777777" w:rsidR="00877323" w:rsidRPr="00877323" w:rsidRDefault="00877323" w:rsidP="00877323">
      <w:pPr>
        <w:pStyle w:val="NoSpacing"/>
        <w:rPr>
          <w:sz w:val="24"/>
          <w:szCs w:val="24"/>
        </w:rPr>
      </w:pPr>
    </w:p>
    <w:p w14:paraId="3899D421" w14:textId="2E1CEE69" w:rsidR="00877323" w:rsidRPr="00877323" w:rsidRDefault="00437396" w:rsidP="00877323">
      <w:pPr>
        <w:pStyle w:val="NoSpacing"/>
      </w:pPr>
      <w:r w:rsidRPr="00877323">
        <w:rPr>
          <w:position w:val="-16"/>
        </w:rPr>
        <w:object w:dxaOrig="3159" w:dyaOrig="440" w14:anchorId="4B2F41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55pt;height:24pt" o:ole="" filled="t" fillcolor="#cfc">
            <v:imagedata r:id="rId6" o:title=""/>
          </v:shape>
          <o:OLEObject Type="Embed" ProgID="Equation.DSMT4" ShapeID="_x0000_i1025" DrawAspect="Content" ObjectID="_1765891996" r:id="rId7"/>
        </w:object>
      </w:r>
    </w:p>
    <w:p w14:paraId="006BDA19" w14:textId="77777777" w:rsidR="00877323" w:rsidRPr="00877323" w:rsidRDefault="00877323" w:rsidP="00877323">
      <w:pPr>
        <w:pStyle w:val="NoSpacing"/>
      </w:pPr>
    </w:p>
    <w:p w14:paraId="449A97F8" w14:textId="77777777" w:rsidR="00877323" w:rsidRPr="00877323" w:rsidRDefault="00877323" w:rsidP="00877323">
      <w:pPr>
        <w:pStyle w:val="NoSpacing"/>
        <w:rPr>
          <w:sz w:val="28"/>
          <w:szCs w:val="28"/>
        </w:rPr>
      </w:pPr>
      <w:r w:rsidRPr="00877323">
        <w:rPr>
          <w:sz w:val="24"/>
          <w:szCs w:val="24"/>
        </w:rPr>
        <w:t>and convert to fake Gaussian units, we’d get:</w:t>
      </w:r>
    </w:p>
    <w:p w14:paraId="79C4E959" w14:textId="77777777" w:rsidR="00877323" w:rsidRPr="00877323" w:rsidRDefault="00877323" w:rsidP="00877323">
      <w:pPr>
        <w:pStyle w:val="NoSpacing"/>
        <w:rPr>
          <w:sz w:val="24"/>
          <w:szCs w:val="24"/>
        </w:rPr>
      </w:pPr>
    </w:p>
    <w:p w14:paraId="1238E1FD" w14:textId="715F0D66" w:rsidR="00877323" w:rsidRPr="00877323" w:rsidRDefault="00C11E0E" w:rsidP="00877323">
      <w:pPr>
        <w:pStyle w:val="NoSpacing"/>
        <w:rPr>
          <w:sz w:val="24"/>
          <w:szCs w:val="24"/>
        </w:rPr>
      </w:pPr>
      <w:r w:rsidRPr="00877323">
        <w:rPr>
          <w:position w:val="-24"/>
        </w:rPr>
        <w:object w:dxaOrig="3320" w:dyaOrig="620" w14:anchorId="6EE3F45F">
          <v:shape id="_x0000_i1026" type="#_x0000_t75" style="width:174.45pt;height:32.15pt" o:ole="">
            <v:imagedata r:id="rId8" o:title=""/>
          </v:shape>
          <o:OLEObject Type="Embed" ProgID="Equation.DSMT4" ShapeID="_x0000_i1026" DrawAspect="Content" ObjectID="_1765891997" r:id="rId9"/>
        </w:object>
      </w:r>
    </w:p>
    <w:p w14:paraId="2B4254B1" w14:textId="77777777" w:rsidR="00877323" w:rsidRPr="00877323" w:rsidRDefault="00877323" w:rsidP="00877323">
      <w:pPr>
        <w:pStyle w:val="NoSpacing"/>
        <w:rPr>
          <w:sz w:val="24"/>
          <w:szCs w:val="24"/>
        </w:rPr>
      </w:pPr>
    </w:p>
    <w:p w14:paraId="2AB7E378" w14:textId="77777777" w:rsidR="00877323" w:rsidRPr="00877323" w:rsidRDefault="00877323" w:rsidP="00877323">
      <w:pPr>
        <w:pStyle w:val="NoSpacing"/>
        <w:rPr>
          <w:sz w:val="24"/>
          <w:szCs w:val="24"/>
        </w:rPr>
      </w:pPr>
      <w:r w:rsidRPr="00877323">
        <w:rPr>
          <w:sz w:val="24"/>
          <w:szCs w:val="24"/>
        </w:rPr>
        <w:t>But instead, we’re going to write:</w:t>
      </w:r>
    </w:p>
    <w:p w14:paraId="6B9E2BE9" w14:textId="77777777" w:rsidR="00877323" w:rsidRPr="00877323" w:rsidRDefault="00877323" w:rsidP="00877323">
      <w:pPr>
        <w:pStyle w:val="NoSpacing"/>
        <w:rPr>
          <w:sz w:val="24"/>
          <w:szCs w:val="24"/>
        </w:rPr>
      </w:pPr>
    </w:p>
    <w:p w14:paraId="2E078820" w14:textId="0151856D" w:rsidR="00877323" w:rsidRPr="00877323" w:rsidRDefault="00C11E0E" w:rsidP="00877323">
      <w:pPr>
        <w:pStyle w:val="NoSpacing"/>
        <w:rPr>
          <w:sz w:val="24"/>
          <w:szCs w:val="24"/>
        </w:rPr>
      </w:pPr>
      <w:r w:rsidRPr="00877323">
        <w:rPr>
          <w:position w:val="-16"/>
          <w:sz w:val="24"/>
          <w:szCs w:val="24"/>
        </w:rPr>
        <w:object w:dxaOrig="2980" w:dyaOrig="440" w14:anchorId="3A22D3FA">
          <v:shape id="_x0000_i1027" type="#_x0000_t75" style="width:139.3pt;height:24pt" o:ole="">
            <v:imagedata r:id="rId10" o:title=""/>
          </v:shape>
          <o:OLEObject Type="Embed" ProgID="Equation.DSMT4" ShapeID="_x0000_i1027" DrawAspect="Content" ObjectID="_1765891998" r:id="rId11"/>
        </w:object>
      </w:r>
      <w:r w:rsidR="00877323" w:rsidRPr="00877323">
        <w:rPr>
          <w:sz w:val="24"/>
          <w:szCs w:val="24"/>
        </w:rPr>
        <w:t xml:space="preserve"> </w:t>
      </w:r>
    </w:p>
    <w:p w14:paraId="71FDFE7A" w14:textId="77777777" w:rsidR="00877323" w:rsidRPr="00877323" w:rsidRDefault="00877323" w:rsidP="00877323">
      <w:pPr>
        <w:pStyle w:val="NoSpacing"/>
        <w:rPr>
          <w:sz w:val="24"/>
          <w:szCs w:val="24"/>
        </w:rPr>
      </w:pPr>
    </w:p>
    <w:p w14:paraId="381879C5" w14:textId="35BFEC9D" w:rsidR="00877323" w:rsidRPr="00877323" w:rsidRDefault="00877323" w:rsidP="00877323">
      <w:pPr>
        <w:pStyle w:val="NoSpacing"/>
        <w:rPr>
          <w:sz w:val="24"/>
          <w:szCs w:val="24"/>
        </w:rPr>
      </w:pPr>
      <w:r w:rsidRPr="00925D60">
        <w:rPr>
          <w:color w:val="FF0000"/>
          <w:sz w:val="24"/>
          <w:szCs w:val="24"/>
        </w:rPr>
        <w:t xml:space="preserve">So this </w:t>
      </w:r>
      <w:r w:rsidRPr="00925D60">
        <w:rPr>
          <w:rFonts w:ascii="Calibri" w:hAnsi="Calibri" w:cs="Calibri"/>
          <w:color w:val="FF0000"/>
          <w:sz w:val="24"/>
          <w:szCs w:val="24"/>
        </w:rPr>
        <w:t>χ</w:t>
      </w:r>
      <w:r w:rsidRPr="00925D60">
        <w:rPr>
          <w:color w:val="FF0000"/>
          <w:sz w:val="24"/>
          <w:szCs w:val="24"/>
          <w:vertAlign w:val="superscript"/>
        </w:rPr>
        <w:t>irr</w:t>
      </w:r>
      <w:r w:rsidRPr="00925D60">
        <w:rPr>
          <w:color w:val="FF0000"/>
          <w:sz w:val="24"/>
          <w:szCs w:val="24"/>
        </w:rPr>
        <w:t xml:space="preserve"> is smaller than the </w:t>
      </w:r>
      <w:r w:rsidRPr="00925D60">
        <w:rPr>
          <w:rFonts w:ascii="Calibri" w:hAnsi="Calibri" w:cs="Calibri"/>
          <w:color w:val="FF0000"/>
          <w:sz w:val="24"/>
          <w:szCs w:val="24"/>
        </w:rPr>
        <w:t>χ</w:t>
      </w:r>
      <w:r w:rsidRPr="00925D60">
        <w:rPr>
          <w:rFonts w:ascii="Calibri" w:hAnsi="Calibri" w:cs="Calibri"/>
          <w:color w:val="FF0000"/>
          <w:sz w:val="24"/>
          <w:szCs w:val="24"/>
          <w:vertAlign w:val="superscript"/>
        </w:rPr>
        <w:t>irr</w:t>
      </w:r>
      <w:r w:rsidRPr="00925D60">
        <w:rPr>
          <w:color w:val="FF0000"/>
          <w:sz w:val="24"/>
          <w:szCs w:val="24"/>
        </w:rPr>
        <w:t xml:space="preserve"> we defined in the EM folder by a factor of 4</w:t>
      </w:r>
      <w:r w:rsidRPr="00925D60">
        <w:rPr>
          <w:rFonts w:ascii="Calibri" w:hAnsi="Calibri" w:cs="Calibri"/>
          <w:color w:val="FF0000"/>
          <w:sz w:val="24"/>
          <w:szCs w:val="24"/>
        </w:rPr>
        <w:t>π, and the ‘advantage’ of doing so is it allows us to put things more easily in terms of the Coulomb potential’s Fourier transform</w:t>
      </w:r>
      <w:r w:rsidRPr="00877323">
        <w:rPr>
          <w:sz w:val="24"/>
          <w:szCs w:val="24"/>
        </w:rPr>
        <w:t>.  Anyway, this is equivalent to, taking the spatial Fourier transform of both sides:</w:t>
      </w:r>
    </w:p>
    <w:p w14:paraId="1E044054" w14:textId="77777777" w:rsidR="00877323" w:rsidRPr="00877323" w:rsidRDefault="00877323" w:rsidP="00877323">
      <w:pPr>
        <w:pStyle w:val="NoSpacing"/>
        <w:rPr>
          <w:sz w:val="24"/>
          <w:szCs w:val="24"/>
        </w:rPr>
      </w:pPr>
    </w:p>
    <w:p w14:paraId="24248E1D" w14:textId="24AC7C31" w:rsidR="00877323" w:rsidRPr="00877323" w:rsidRDefault="00C11E0E" w:rsidP="00877323">
      <w:pPr>
        <w:pStyle w:val="NoSpacing"/>
        <w:rPr>
          <w:sz w:val="24"/>
          <w:szCs w:val="24"/>
        </w:rPr>
      </w:pPr>
      <w:r w:rsidRPr="00877323">
        <w:rPr>
          <w:position w:val="-12"/>
          <w:sz w:val="24"/>
          <w:szCs w:val="24"/>
        </w:rPr>
        <w:object w:dxaOrig="2060" w:dyaOrig="380" w14:anchorId="652AF436">
          <v:shape id="_x0000_i1028" type="#_x0000_t75" style="width:126pt;height:20.55pt" o:ole="" filled="t" fillcolor="#cfc">
            <v:imagedata r:id="rId12" o:title=""/>
          </v:shape>
          <o:OLEObject Type="Embed" ProgID="Equation.DSMT4" ShapeID="_x0000_i1028" DrawAspect="Content" ObjectID="_1765891999" r:id="rId13"/>
        </w:object>
      </w:r>
    </w:p>
    <w:p w14:paraId="296CBFD6" w14:textId="77777777" w:rsidR="00877323" w:rsidRPr="00877323" w:rsidRDefault="00877323" w:rsidP="00877323">
      <w:pPr>
        <w:pStyle w:val="NoSpacing"/>
        <w:rPr>
          <w:sz w:val="24"/>
          <w:szCs w:val="24"/>
        </w:rPr>
      </w:pPr>
    </w:p>
    <w:p w14:paraId="4C082B4A" w14:textId="77777777" w:rsidR="00877323" w:rsidRPr="00877323" w:rsidRDefault="00877323" w:rsidP="00877323">
      <w:pPr>
        <w:pStyle w:val="NoSpacing"/>
        <w:rPr>
          <w:sz w:val="24"/>
          <w:szCs w:val="24"/>
        </w:rPr>
      </w:pPr>
      <w:r w:rsidRPr="00877323">
        <w:rPr>
          <w:sz w:val="24"/>
          <w:szCs w:val="24"/>
        </w:rPr>
        <w:t xml:space="preserve">Now how do all of these functions relate?  We can use Maxwell’s equations, like was done before.  We’ll use: </w:t>
      </w:r>
    </w:p>
    <w:p w14:paraId="707198B6" w14:textId="77777777" w:rsidR="00877323" w:rsidRPr="00877323" w:rsidRDefault="00877323" w:rsidP="00877323">
      <w:pPr>
        <w:pStyle w:val="NoSpacing"/>
        <w:rPr>
          <w:sz w:val="24"/>
          <w:szCs w:val="24"/>
        </w:rPr>
      </w:pPr>
    </w:p>
    <w:p w14:paraId="50FC6E5C" w14:textId="494B3BA1" w:rsidR="00877323" w:rsidRPr="00877323" w:rsidRDefault="00C11E0E" w:rsidP="00877323">
      <w:pPr>
        <w:pStyle w:val="NoSpacing"/>
        <w:rPr>
          <w:sz w:val="24"/>
          <w:szCs w:val="24"/>
        </w:rPr>
      </w:pPr>
      <w:r w:rsidRPr="00293AC7">
        <w:rPr>
          <w:rFonts w:ascii="Calibri" w:hAnsi="Calibri" w:cs="Calibri"/>
          <w:position w:val="-18"/>
        </w:rPr>
        <w:object w:dxaOrig="2980" w:dyaOrig="480" w14:anchorId="3BE7A604">
          <v:shape id="_x0000_i1029" type="#_x0000_t75" style="width:159.85pt;height:26.15pt" o:ole="">
            <v:imagedata r:id="rId14" o:title=""/>
          </v:shape>
          <o:OLEObject Type="Embed" ProgID="Equation.DSMT4" ShapeID="_x0000_i1029" DrawAspect="Content" ObjectID="_1765892000" r:id="rId15"/>
        </w:object>
      </w:r>
    </w:p>
    <w:p w14:paraId="7F229D27" w14:textId="77777777" w:rsidR="00877323" w:rsidRPr="00877323" w:rsidRDefault="00877323" w:rsidP="00877323">
      <w:pPr>
        <w:pStyle w:val="NoSpacing"/>
        <w:rPr>
          <w:sz w:val="24"/>
          <w:szCs w:val="24"/>
        </w:rPr>
      </w:pPr>
    </w:p>
    <w:p w14:paraId="6DF3EA49" w14:textId="77777777" w:rsidR="00877323" w:rsidRPr="00877323" w:rsidRDefault="00877323" w:rsidP="00877323">
      <w:pPr>
        <w:pStyle w:val="NoSpacing"/>
        <w:rPr>
          <w:sz w:val="24"/>
          <w:szCs w:val="24"/>
        </w:rPr>
      </w:pPr>
      <w:r w:rsidRPr="00877323">
        <w:rPr>
          <w:sz w:val="24"/>
          <w:szCs w:val="24"/>
        </w:rPr>
        <w:t>Taking the Fourier transform of both sides,</w:t>
      </w:r>
    </w:p>
    <w:p w14:paraId="416FDBF2" w14:textId="77777777" w:rsidR="00877323" w:rsidRPr="00877323" w:rsidRDefault="00877323" w:rsidP="00877323">
      <w:pPr>
        <w:rPr>
          <w:rFonts w:ascii="Calibri" w:hAnsi="Calibri" w:cs="Calibri"/>
        </w:rPr>
      </w:pPr>
    </w:p>
    <w:p w14:paraId="7B559C44" w14:textId="1DA524FC" w:rsidR="00877323" w:rsidRPr="00877323" w:rsidRDefault="00C11E0E" w:rsidP="00877323">
      <w:pPr>
        <w:rPr>
          <w:rFonts w:ascii="Calibri" w:hAnsi="Calibri" w:cs="Calibri"/>
        </w:rPr>
      </w:pPr>
      <w:r w:rsidRPr="00293AC7">
        <w:rPr>
          <w:rFonts w:ascii="Calibri" w:hAnsi="Calibri" w:cs="Calibri"/>
          <w:position w:val="-18"/>
        </w:rPr>
        <w:object w:dxaOrig="3000" w:dyaOrig="480" w14:anchorId="40D8BE98">
          <v:shape id="_x0000_i1030" type="#_x0000_t75" style="width:171.85pt;height:26.15pt" o:ole="">
            <v:imagedata r:id="rId16" o:title=""/>
          </v:shape>
          <o:OLEObject Type="Embed" ProgID="Equation.DSMT4" ShapeID="_x0000_i1030" DrawAspect="Content" ObjectID="_1765892001" r:id="rId17"/>
        </w:object>
      </w:r>
    </w:p>
    <w:p w14:paraId="1E58D63D" w14:textId="77777777" w:rsidR="00877323" w:rsidRPr="00877323" w:rsidRDefault="00877323" w:rsidP="00877323">
      <w:pPr>
        <w:rPr>
          <w:rFonts w:ascii="Calibri" w:hAnsi="Calibri" w:cs="Calibri"/>
        </w:rPr>
      </w:pPr>
    </w:p>
    <w:p w14:paraId="511FAD9D" w14:textId="21DEFC57" w:rsidR="00877323" w:rsidRPr="00877323" w:rsidRDefault="00877323" w:rsidP="00877323">
      <w:pPr>
        <w:rPr>
          <w:rFonts w:ascii="Calibri" w:hAnsi="Calibri" w:cs="Calibri"/>
        </w:rPr>
      </w:pPr>
      <w:r w:rsidRPr="00877323">
        <w:rPr>
          <w:rFonts w:ascii="Calibri" w:hAnsi="Calibri" w:cs="Calibri"/>
        </w:rPr>
        <w:t>Plugging in our induced ρ,</w:t>
      </w:r>
      <w:r w:rsidR="00293AC7">
        <w:rPr>
          <w:rFonts w:ascii="Calibri" w:hAnsi="Calibri" w:cs="Calibri"/>
        </w:rPr>
        <w:t xml:space="preserve"> </w:t>
      </w:r>
    </w:p>
    <w:p w14:paraId="47543681" w14:textId="77777777" w:rsidR="00877323" w:rsidRPr="00877323" w:rsidRDefault="00877323" w:rsidP="00877323">
      <w:pPr>
        <w:rPr>
          <w:rFonts w:ascii="Calibri" w:hAnsi="Calibri" w:cs="Calibri"/>
        </w:rPr>
      </w:pPr>
    </w:p>
    <w:p w14:paraId="04BBBDDF" w14:textId="169C1173" w:rsidR="00877323" w:rsidRPr="00877323" w:rsidRDefault="00C11E0E" w:rsidP="00877323">
      <w:pPr>
        <w:rPr>
          <w:rFonts w:ascii="Calibri" w:hAnsi="Calibri" w:cs="Calibri"/>
        </w:rPr>
      </w:pPr>
      <w:r w:rsidRPr="00293AC7">
        <w:rPr>
          <w:rFonts w:ascii="Calibri" w:hAnsi="Calibri" w:cs="Calibri"/>
          <w:position w:val="-94"/>
        </w:rPr>
        <w:object w:dxaOrig="3420" w:dyaOrig="1719" w14:anchorId="5614B093">
          <v:shape id="_x0000_i1031" type="#_x0000_t75" style="width:171pt;height:86.55pt" o:ole="">
            <v:imagedata r:id="rId18" o:title=""/>
          </v:shape>
          <o:OLEObject Type="Embed" ProgID="Equation.DSMT4" ShapeID="_x0000_i1031" DrawAspect="Content" ObjectID="_1765892002" r:id="rId19"/>
        </w:object>
      </w:r>
    </w:p>
    <w:p w14:paraId="316FC0AC" w14:textId="77777777" w:rsidR="00877323" w:rsidRPr="00877323" w:rsidRDefault="00877323" w:rsidP="00877323">
      <w:pPr>
        <w:pStyle w:val="NoSpacing"/>
        <w:rPr>
          <w:sz w:val="24"/>
          <w:szCs w:val="24"/>
        </w:rPr>
      </w:pPr>
    </w:p>
    <w:p w14:paraId="273F43DA" w14:textId="77777777" w:rsidR="00877323" w:rsidRPr="00877323" w:rsidRDefault="00877323" w:rsidP="00877323">
      <w:pPr>
        <w:rPr>
          <w:rFonts w:ascii="Calibri" w:hAnsi="Calibri" w:cs="Calibri"/>
        </w:rPr>
      </w:pPr>
      <w:r w:rsidRPr="00877323">
        <w:rPr>
          <w:rFonts w:ascii="Calibri" w:hAnsi="Calibri" w:cs="Calibri"/>
        </w:rPr>
        <w:t>And now we can define the proportionality between ρ</w:t>
      </w:r>
      <w:r w:rsidRPr="00877323">
        <w:rPr>
          <w:rFonts w:ascii="Calibri" w:hAnsi="Calibri" w:cs="Calibri"/>
          <w:vertAlign w:val="subscript"/>
        </w:rPr>
        <w:t>f</w:t>
      </w:r>
      <w:r w:rsidRPr="00877323">
        <w:rPr>
          <w:rFonts w:ascii="Calibri" w:hAnsi="Calibri" w:cs="Calibri"/>
        </w:rPr>
        <w:t xml:space="preserve"> and φ as:</w:t>
      </w:r>
    </w:p>
    <w:p w14:paraId="411AD2F8" w14:textId="77777777" w:rsidR="00877323" w:rsidRPr="00877323" w:rsidRDefault="00877323" w:rsidP="00877323">
      <w:pPr>
        <w:rPr>
          <w:rFonts w:ascii="Calibri" w:hAnsi="Calibri" w:cs="Calibri"/>
        </w:rPr>
      </w:pPr>
    </w:p>
    <w:p w14:paraId="3D1C4697" w14:textId="047F7ECA" w:rsidR="00877323" w:rsidRPr="00877323" w:rsidRDefault="00C11E0E" w:rsidP="00877323">
      <w:pPr>
        <w:rPr>
          <w:rFonts w:ascii="Calibri" w:hAnsi="Calibri" w:cs="Calibri"/>
        </w:rPr>
      </w:pPr>
      <w:r w:rsidRPr="00877323">
        <w:rPr>
          <w:rFonts w:ascii="Calibri" w:hAnsi="Calibri" w:cs="Calibri"/>
          <w:position w:val="-30"/>
        </w:rPr>
        <w:object w:dxaOrig="5140" w:dyaOrig="680" w14:anchorId="72C6CBB2">
          <v:shape id="_x0000_i1032" type="#_x0000_t75" style="width:258.45pt;height:36pt" o:ole="" filled="t" fillcolor="#cfc">
            <v:imagedata r:id="rId20" o:title=""/>
          </v:shape>
          <o:OLEObject Type="Embed" ProgID="Equation.DSMT4" ShapeID="_x0000_i1032" DrawAspect="Content" ObjectID="_1765892003" r:id="rId21"/>
        </w:object>
      </w:r>
      <w:r w:rsidR="00877323" w:rsidRPr="00877323">
        <w:rPr>
          <w:rFonts w:ascii="Calibri" w:hAnsi="Calibri" w:cs="Calibri"/>
        </w:rPr>
        <w:t xml:space="preserve"> </w:t>
      </w:r>
    </w:p>
    <w:p w14:paraId="00CCE82D" w14:textId="77777777" w:rsidR="00877323" w:rsidRPr="00877323" w:rsidRDefault="00877323" w:rsidP="00877323">
      <w:pPr>
        <w:pStyle w:val="NoSpacing"/>
        <w:rPr>
          <w:sz w:val="24"/>
          <w:szCs w:val="24"/>
        </w:rPr>
      </w:pPr>
    </w:p>
    <w:p w14:paraId="7E80BB42" w14:textId="26B36AE0" w:rsidR="00877323" w:rsidRPr="00877323" w:rsidRDefault="00877323" w:rsidP="00125B70">
      <w:pPr>
        <w:rPr>
          <w:rFonts w:ascii="Calibri" w:hAnsi="Calibri" w:cs="Calibri"/>
        </w:rPr>
      </w:pPr>
      <w:r w:rsidRPr="00877323">
        <w:rPr>
          <w:rFonts w:ascii="Calibri" w:hAnsi="Calibri" w:cs="Calibri"/>
        </w:rPr>
        <w:t>where υ(q) = 4π/q</w:t>
      </w:r>
      <w:r w:rsidRPr="00877323">
        <w:rPr>
          <w:rFonts w:ascii="Calibri" w:hAnsi="Calibri" w:cs="Calibri"/>
          <w:vertAlign w:val="superscript"/>
        </w:rPr>
        <w:t>2</w:t>
      </w:r>
      <w:r w:rsidRPr="00877323">
        <w:rPr>
          <w:rFonts w:ascii="Calibri" w:hAnsi="Calibri" w:cs="Calibri"/>
        </w:rPr>
        <w:t xml:space="preserve">.  This is called υ(q) because the Coulomb potential has the same Fourier transform, in Gaussian units, sans the factors of e.  Must be careful not to confuse this υ(q) with the actual potential V(q) that </w:t>
      </w:r>
      <w:r w:rsidRPr="00877323">
        <w:rPr>
          <w:rFonts w:ascii="Calibri" w:hAnsi="Calibri" w:cs="Calibri"/>
          <w:i/>
        </w:rPr>
        <w:t>includes</w:t>
      </w:r>
      <w:r w:rsidRPr="00877323">
        <w:rPr>
          <w:rFonts w:ascii="Calibri" w:hAnsi="Calibri" w:cs="Calibri"/>
        </w:rPr>
        <w:t xml:space="preserve"> the e’s.  </w:t>
      </w:r>
      <w:r w:rsidR="00125B70">
        <w:rPr>
          <w:rFonts w:ascii="Calibri" w:hAnsi="Calibri" w:cs="Calibri"/>
        </w:rPr>
        <w:t>Now let’s relate the induced charge to the free potential.  By definition, this is:</w:t>
      </w:r>
      <w:r w:rsidRPr="00877323">
        <w:rPr>
          <w:rFonts w:ascii="Calibri" w:hAnsi="Calibri" w:cs="Calibri"/>
        </w:rPr>
        <w:t xml:space="preserve"> </w:t>
      </w:r>
    </w:p>
    <w:p w14:paraId="2B9CDEF2" w14:textId="77777777" w:rsidR="00877323" w:rsidRPr="00877323" w:rsidRDefault="00877323" w:rsidP="00877323">
      <w:pPr>
        <w:rPr>
          <w:rFonts w:ascii="Calibri" w:hAnsi="Calibri" w:cs="Calibri"/>
        </w:rPr>
      </w:pPr>
    </w:p>
    <w:p w14:paraId="3C21A914" w14:textId="381C127B" w:rsidR="00877323" w:rsidRPr="00877323" w:rsidRDefault="00C11E0E" w:rsidP="00877323">
      <w:r w:rsidRPr="00125B70">
        <w:rPr>
          <w:position w:val="-14"/>
        </w:rPr>
        <w:object w:dxaOrig="5720" w:dyaOrig="380" w14:anchorId="519292CE">
          <v:shape id="_x0000_i1033" type="#_x0000_t75" style="width:284.15pt;height:18.85pt" o:ole="" filled="t" fillcolor="#cfc">
            <v:imagedata r:id="rId22" o:title=""/>
          </v:shape>
          <o:OLEObject Type="Embed" ProgID="Equation.DSMT4" ShapeID="_x0000_i1033" DrawAspect="Content" ObjectID="_1765892004" r:id="rId23"/>
        </w:object>
      </w:r>
    </w:p>
    <w:p w14:paraId="22A229C0" w14:textId="409FBC81" w:rsidR="00877323" w:rsidRDefault="00877323" w:rsidP="00877323">
      <w:pPr>
        <w:pStyle w:val="NoSpacing"/>
        <w:rPr>
          <w:sz w:val="24"/>
          <w:szCs w:val="24"/>
        </w:rPr>
      </w:pPr>
    </w:p>
    <w:p w14:paraId="42287933" w14:textId="600C7321" w:rsidR="00877323" w:rsidRPr="00877323" w:rsidRDefault="00125B70" w:rsidP="00877323">
      <w:pPr>
        <w:pStyle w:val="NoSpacing"/>
        <w:rPr>
          <w:rFonts w:cstheme="minorHAnsi"/>
          <w:sz w:val="24"/>
          <w:szCs w:val="24"/>
        </w:rPr>
      </w:pPr>
      <w:r>
        <w:rPr>
          <w:sz w:val="24"/>
          <w:szCs w:val="24"/>
        </w:rPr>
        <w:t xml:space="preserve">and can see </w:t>
      </w:r>
      <w:r>
        <w:rPr>
          <w:rFonts w:ascii="Calibri" w:hAnsi="Calibri" w:cs="Calibri"/>
          <w:sz w:val="24"/>
          <w:szCs w:val="24"/>
        </w:rPr>
        <w:t>χ</w:t>
      </w:r>
      <w:r>
        <w:rPr>
          <w:sz w:val="24"/>
          <w:szCs w:val="24"/>
        </w:rPr>
        <w:t xml:space="preserve">(q) must equal </w:t>
      </w:r>
      <w:r>
        <w:rPr>
          <w:rFonts w:ascii="Calibri" w:hAnsi="Calibri" w:cs="Calibri"/>
          <w:sz w:val="24"/>
          <w:szCs w:val="24"/>
        </w:rPr>
        <w:t>χ</w:t>
      </w:r>
      <w:r>
        <w:rPr>
          <w:sz w:val="24"/>
          <w:szCs w:val="24"/>
          <w:vertAlign w:val="subscript"/>
        </w:rPr>
        <w:t>irr</w:t>
      </w:r>
      <w:r>
        <w:rPr>
          <w:sz w:val="24"/>
          <w:szCs w:val="24"/>
        </w:rPr>
        <w:t xml:space="preserve">(q) because </w:t>
      </w:r>
      <w:r>
        <w:rPr>
          <w:rFonts w:ascii="Calibri" w:hAnsi="Calibri" w:cs="Calibri"/>
          <w:sz w:val="24"/>
          <w:szCs w:val="24"/>
        </w:rPr>
        <w:t>φ</w:t>
      </w:r>
      <w:r>
        <w:rPr>
          <w:sz w:val="24"/>
          <w:szCs w:val="24"/>
        </w:rPr>
        <w:t xml:space="preserve"> = </w:t>
      </w:r>
      <w:r>
        <w:rPr>
          <w:rFonts w:ascii="Calibri" w:hAnsi="Calibri" w:cs="Calibri"/>
          <w:sz w:val="24"/>
          <w:szCs w:val="24"/>
        </w:rPr>
        <w:t>φ</w:t>
      </w:r>
      <w:r>
        <w:rPr>
          <w:sz w:val="24"/>
          <w:szCs w:val="24"/>
          <w:vertAlign w:val="subscript"/>
        </w:rPr>
        <w:t>f</w:t>
      </w:r>
      <w:r>
        <w:rPr>
          <w:sz w:val="24"/>
          <w:szCs w:val="24"/>
        </w:rPr>
        <w:t xml:space="preserve">.  </w:t>
      </w:r>
      <w:r w:rsidR="00877323" w:rsidRPr="00877323">
        <w:rPr>
          <w:rFonts w:cstheme="minorHAnsi"/>
          <w:sz w:val="24"/>
          <w:szCs w:val="24"/>
        </w:rPr>
        <w:t xml:space="preserve">Finally, </w:t>
      </w:r>
      <w:r w:rsidR="006D7CED">
        <w:rPr>
          <w:rFonts w:cstheme="minorHAnsi"/>
          <w:sz w:val="24"/>
          <w:szCs w:val="24"/>
        </w:rPr>
        <w:t xml:space="preserve">from these two highlighted equations, </w:t>
      </w:r>
      <w:r w:rsidR="00877323" w:rsidRPr="00877323">
        <w:rPr>
          <w:rFonts w:cstheme="minorHAnsi"/>
          <w:sz w:val="24"/>
          <w:szCs w:val="24"/>
        </w:rPr>
        <w:t xml:space="preserve">we can relate </w:t>
      </w:r>
      <w:r w:rsidR="00877323" w:rsidRPr="00877323">
        <w:rPr>
          <w:rFonts w:ascii="Calibri" w:hAnsi="Calibri" w:cs="Calibri"/>
          <w:sz w:val="24"/>
          <w:szCs w:val="24"/>
        </w:rPr>
        <w:t>ρ</w:t>
      </w:r>
      <w:r w:rsidR="00877323" w:rsidRPr="00877323">
        <w:rPr>
          <w:rFonts w:cstheme="minorHAnsi"/>
          <w:sz w:val="24"/>
          <w:szCs w:val="24"/>
          <w:vertAlign w:val="subscript"/>
        </w:rPr>
        <w:t>ind</w:t>
      </w:r>
      <w:r w:rsidR="00877323" w:rsidRPr="00877323">
        <w:rPr>
          <w:rFonts w:cstheme="minorHAnsi"/>
          <w:sz w:val="24"/>
          <w:szCs w:val="24"/>
        </w:rPr>
        <w:t xml:space="preserve"> to </w:t>
      </w:r>
      <w:r w:rsidR="00877323" w:rsidRPr="00877323">
        <w:rPr>
          <w:rFonts w:ascii="Calibri" w:hAnsi="Calibri" w:cs="Calibri"/>
          <w:sz w:val="24"/>
          <w:szCs w:val="24"/>
        </w:rPr>
        <w:t>ρ</w:t>
      </w:r>
      <w:r w:rsidR="00877323" w:rsidRPr="00877323">
        <w:rPr>
          <w:rFonts w:ascii="Calibri" w:hAnsi="Calibri" w:cs="Calibri"/>
          <w:sz w:val="24"/>
          <w:szCs w:val="24"/>
          <w:vertAlign w:val="subscript"/>
        </w:rPr>
        <w:t>f</w:t>
      </w:r>
      <w:r w:rsidR="00877323" w:rsidRPr="00877323">
        <w:rPr>
          <w:rFonts w:cstheme="minorHAnsi"/>
          <w:sz w:val="24"/>
          <w:szCs w:val="24"/>
        </w:rPr>
        <w:t xml:space="preserve"> via:</w:t>
      </w:r>
    </w:p>
    <w:p w14:paraId="25BE7A30" w14:textId="77777777" w:rsidR="00877323" w:rsidRPr="00877323" w:rsidRDefault="00877323" w:rsidP="00877323">
      <w:pPr>
        <w:pStyle w:val="NoSpacing"/>
        <w:rPr>
          <w:rFonts w:cstheme="minorHAnsi"/>
          <w:sz w:val="24"/>
          <w:szCs w:val="24"/>
        </w:rPr>
      </w:pPr>
    </w:p>
    <w:p w14:paraId="1762430E" w14:textId="4328BFAB" w:rsidR="00877323" w:rsidRPr="00877323" w:rsidRDefault="00C11E0E" w:rsidP="00877323">
      <w:pPr>
        <w:pStyle w:val="NoSpacing"/>
        <w:rPr>
          <w:sz w:val="24"/>
          <w:szCs w:val="24"/>
        </w:rPr>
      </w:pPr>
      <w:r w:rsidRPr="00125B70">
        <w:rPr>
          <w:position w:val="-14"/>
          <w:sz w:val="24"/>
          <w:szCs w:val="24"/>
        </w:rPr>
        <w:object w:dxaOrig="2620" w:dyaOrig="400" w14:anchorId="29A9DC54">
          <v:shape id="_x0000_i1034" type="#_x0000_t75" style="width:138.85pt;height:20.15pt" o:ole="" filled="t" fillcolor="#cfc">
            <v:imagedata r:id="rId24" o:title=""/>
          </v:shape>
          <o:OLEObject Type="Embed" ProgID="Equation.DSMT4" ShapeID="_x0000_i1034" DrawAspect="Content" ObjectID="_1765892005" r:id="rId25"/>
        </w:object>
      </w:r>
    </w:p>
    <w:p w14:paraId="1B361534" w14:textId="77777777" w:rsidR="00125B70" w:rsidRDefault="00125B70" w:rsidP="00457029">
      <w:pPr>
        <w:pStyle w:val="NoSpacing"/>
        <w:rPr>
          <w:b/>
          <w:sz w:val="24"/>
          <w:szCs w:val="24"/>
        </w:rPr>
      </w:pPr>
    </w:p>
    <w:p w14:paraId="4D0B968F" w14:textId="668519A7" w:rsidR="003714A7" w:rsidRDefault="00925D60" w:rsidP="00457029">
      <w:pPr>
        <w:pStyle w:val="NoSpacing"/>
        <w:rPr>
          <w:b/>
          <w:sz w:val="24"/>
          <w:szCs w:val="24"/>
        </w:rPr>
      </w:pPr>
      <w:r>
        <w:rPr>
          <w:b/>
          <w:sz w:val="24"/>
          <w:szCs w:val="24"/>
        </w:rPr>
        <w:t>Appendix</w:t>
      </w:r>
    </w:p>
    <w:p w14:paraId="25A0D127" w14:textId="71EA05C5" w:rsidR="00925D60" w:rsidRDefault="00925D60" w:rsidP="00925D60">
      <w:pPr>
        <w:pStyle w:val="NoSpacing"/>
        <w:rPr>
          <w:rFonts w:ascii="Calibri" w:hAnsi="Calibri" w:cs="Calibri"/>
          <w:sz w:val="24"/>
          <w:szCs w:val="24"/>
        </w:rPr>
      </w:pPr>
      <w:r>
        <w:rPr>
          <w:sz w:val="24"/>
          <w:szCs w:val="24"/>
        </w:rPr>
        <w:t xml:space="preserve">Should consider converting these susceptibilities back to SI.  Well, basically you have to get </w:t>
      </w:r>
      <w:r>
        <w:rPr>
          <w:rFonts w:ascii="Calibri" w:hAnsi="Calibri" w:cs="Calibri"/>
          <w:sz w:val="24"/>
          <w:szCs w:val="24"/>
        </w:rPr>
        <w:t>χ</w:t>
      </w:r>
      <w:r>
        <w:rPr>
          <w:sz w:val="24"/>
          <w:szCs w:val="24"/>
          <w:vertAlign w:val="subscript"/>
        </w:rPr>
        <w:t>irr</w:t>
      </w:r>
      <w:r>
        <w:rPr>
          <w:sz w:val="24"/>
          <w:szCs w:val="24"/>
        </w:rPr>
        <w:t>, reconvert it to ‘true’ fake Gaussian units by multiplying by 4</w:t>
      </w:r>
      <w:r>
        <w:rPr>
          <w:rFonts w:ascii="Calibri" w:hAnsi="Calibri" w:cs="Calibri"/>
          <w:sz w:val="24"/>
          <w:szCs w:val="24"/>
        </w:rPr>
        <w:t>π</w:t>
      </w:r>
      <w:r>
        <w:rPr>
          <w:sz w:val="24"/>
          <w:szCs w:val="24"/>
        </w:rPr>
        <w:t>, and then do the unit analysis of multiplying it by factors of (4</w:t>
      </w:r>
      <w:r>
        <w:rPr>
          <w:rFonts w:ascii="Calibri" w:hAnsi="Calibri" w:cs="Calibri"/>
          <w:sz w:val="24"/>
          <w:szCs w:val="24"/>
        </w:rPr>
        <w:t>πε</w:t>
      </w:r>
      <w:r>
        <w:rPr>
          <w:sz w:val="24"/>
          <w:szCs w:val="24"/>
          <w:vertAlign w:val="subscript"/>
        </w:rPr>
        <w:t>0</w:t>
      </w:r>
      <w:r>
        <w:rPr>
          <w:sz w:val="24"/>
          <w:szCs w:val="24"/>
        </w:rPr>
        <w:t>)</w:t>
      </w:r>
      <w:r>
        <w:rPr>
          <w:sz w:val="24"/>
          <w:szCs w:val="24"/>
          <w:vertAlign w:val="superscript"/>
        </w:rPr>
        <w:t>p</w:t>
      </w:r>
      <w:r>
        <w:rPr>
          <w:sz w:val="24"/>
          <w:szCs w:val="24"/>
        </w:rPr>
        <w:t>(</w:t>
      </w:r>
      <w:r>
        <w:rPr>
          <w:rFonts w:ascii="Calibri" w:hAnsi="Calibri" w:cs="Calibri"/>
          <w:sz w:val="24"/>
          <w:szCs w:val="24"/>
        </w:rPr>
        <w:t>μ</w:t>
      </w:r>
      <w:r>
        <w:rPr>
          <w:rFonts w:ascii="Calibri" w:hAnsi="Calibri" w:cs="Calibri"/>
          <w:sz w:val="24"/>
          <w:szCs w:val="24"/>
          <w:vertAlign w:val="subscript"/>
        </w:rPr>
        <w:t>0</w:t>
      </w:r>
      <w:r>
        <w:rPr>
          <w:sz w:val="24"/>
          <w:szCs w:val="24"/>
        </w:rPr>
        <w:t>/4</w:t>
      </w:r>
      <w:r>
        <w:rPr>
          <w:rFonts w:ascii="Calibri" w:hAnsi="Calibri" w:cs="Calibri"/>
          <w:sz w:val="24"/>
          <w:szCs w:val="24"/>
        </w:rPr>
        <w:t>π)</w:t>
      </w:r>
      <w:r>
        <w:rPr>
          <w:rFonts w:ascii="Calibri" w:hAnsi="Calibri" w:cs="Calibri"/>
          <w:sz w:val="24"/>
          <w:szCs w:val="24"/>
          <w:vertAlign w:val="superscript"/>
        </w:rPr>
        <w:t>q</w:t>
      </w:r>
      <w:r>
        <w:rPr>
          <w:rFonts w:ascii="Calibri" w:hAnsi="Calibri" w:cs="Calibri"/>
          <w:sz w:val="24"/>
          <w:szCs w:val="24"/>
        </w:rPr>
        <w:t>(</w:t>
      </w:r>
      <w:r>
        <w:rPr>
          <w:rFonts w:ascii="Cambria Math" w:hAnsi="Cambria Math" w:cs="Calibri"/>
          <w:sz w:val="24"/>
          <w:szCs w:val="24"/>
        </w:rPr>
        <w:t>ℏ</w:t>
      </w:r>
      <w:r>
        <w:rPr>
          <w:rFonts w:ascii="Calibri" w:hAnsi="Calibri" w:cs="Calibri"/>
          <w:sz w:val="24"/>
          <w:szCs w:val="24"/>
        </w:rPr>
        <w:t>)</w:t>
      </w:r>
      <w:r>
        <w:rPr>
          <w:rFonts w:ascii="Calibri" w:hAnsi="Calibri" w:cs="Calibri"/>
          <w:sz w:val="24"/>
          <w:szCs w:val="24"/>
          <w:vertAlign w:val="superscript"/>
        </w:rPr>
        <w:t>r</w:t>
      </w:r>
      <w:r>
        <w:rPr>
          <w:rFonts w:ascii="Calibri" w:hAnsi="Calibri" w:cs="Calibri"/>
          <w:sz w:val="24"/>
          <w:szCs w:val="24"/>
        </w:rPr>
        <w:t xml:space="preserve"> (since we’ll be using fake Gaussian + Natural units).  </w:t>
      </w:r>
      <w:r w:rsidR="00586F21">
        <w:rPr>
          <w:rFonts w:ascii="Calibri" w:hAnsi="Calibri" w:cs="Calibri"/>
          <w:sz w:val="24"/>
          <w:szCs w:val="24"/>
        </w:rPr>
        <w:t xml:space="preserve"> W</w:t>
      </w:r>
      <w:r>
        <w:rPr>
          <w:rFonts w:ascii="Calibri" w:hAnsi="Calibri" w:cs="Calibri"/>
          <w:sz w:val="24"/>
          <w:szCs w:val="24"/>
        </w:rPr>
        <w:t>e</w:t>
      </w:r>
      <w:r w:rsidR="00586F21">
        <w:rPr>
          <w:rFonts w:ascii="Calibri" w:hAnsi="Calibri" w:cs="Calibri"/>
          <w:sz w:val="24"/>
          <w:szCs w:val="24"/>
        </w:rPr>
        <w:t>ll turns out we</w:t>
      </w:r>
      <w:r>
        <w:rPr>
          <w:rFonts w:ascii="Calibri" w:hAnsi="Calibri" w:cs="Calibri"/>
          <w:sz w:val="24"/>
          <w:szCs w:val="24"/>
        </w:rPr>
        <w:t xml:space="preserve"> just need to multiply</w:t>
      </w:r>
      <w:r w:rsidR="00586F21">
        <w:rPr>
          <w:rFonts w:ascii="Calibri" w:hAnsi="Calibri" w:cs="Calibri"/>
          <w:sz w:val="24"/>
          <w:szCs w:val="24"/>
        </w:rPr>
        <w:t xml:space="preserve"> χ</w:t>
      </w:r>
      <w:r w:rsidR="00586F21">
        <w:rPr>
          <w:rFonts w:ascii="Calibri" w:hAnsi="Calibri" w:cs="Calibri"/>
          <w:sz w:val="24"/>
          <w:szCs w:val="24"/>
          <w:vertAlign w:val="subscript"/>
        </w:rPr>
        <w:t>irr</w:t>
      </w:r>
      <w:r>
        <w:rPr>
          <w:rFonts w:ascii="Calibri" w:hAnsi="Calibri" w:cs="Calibri"/>
          <w:sz w:val="24"/>
          <w:szCs w:val="24"/>
        </w:rPr>
        <w:t xml:space="preserve">, </w:t>
      </w:r>
      <w:r w:rsidRPr="00925D60">
        <w:rPr>
          <w:rFonts w:ascii="Calibri" w:hAnsi="Calibri" w:cs="Calibri"/>
          <w:i/>
          <w:sz w:val="24"/>
          <w:szCs w:val="24"/>
        </w:rPr>
        <w:t>overall</w:t>
      </w:r>
      <w:r>
        <w:rPr>
          <w:rFonts w:ascii="Calibri" w:hAnsi="Calibri" w:cs="Calibri"/>
          <w:sz w:val="24"/>
          <w:szCs w:val="24"/>
        </w:rPr>
        <w:t>, by (4πε</w:t>
      </w:r>
      <w:r>
        <w:rPr>
          <w:rFonts w:ascii="Calibri" w:hAnsi="Calibri" w:cs="Calibri"/>
          <w:sz w:val="24"/>
          <w:szCs w:val="24"/>
          <w:vertAlign w:val="subscript"/>
        </w:rPr>
        <w:t>0</w:t>
      </w:r>
      <w:r>
        <w:rPr>
          <w:rFonts w:ascii="Calibri" w:hAnsi="Calibri" w:cs="Calibri"/>
          <w:sz w:val="24"/>
          <w:szCs w:val="24"/>
        </w:rPr>
        <w:t>)</w:t>
      </w:r>
      <w:r>
        <w:rPr>
          <w:rFonts w:ascii="Calibri" w:hAnsi="Calibri" w:cs="Calibri"/>
          <w:sz w:val="24"/>
          <w:szCs w:val="24"/>
          <w:vertAlign w:val="superscript"/>
        </w:rPr>
        <w:t>-1</w:t>
      </w:r>
      <w:r>
        <w:rPr>
          <w:rFonts w:ascii="Calibri" w:hAnsi="Calibri" w:cs="Calibri"/>
          <w:sz w:val="24"/>
          <w:szCs w:val="24"/>
        </w:rPr>
        <w:t xml:space="preserve">.  Can see example in Non-equilibrium folder/Lindhard Properties.   </w:t>
      </w:r>
    </w:p>
    <w:p w14:paraId="61AEDB37" w14:textId="77777777" w:rsidR="00530C7D" w:rsidRDefault="00530C7D" w:rsidP="00925D60">
      <w:pPr>
        <w:pStyle w:val="NoSpacing"/>
        <w:rPr>
          <w:rFonts w:ascii="Calibri" w:hAnsi="Calibri" w:cs="Calibri"/>
          <w:sz w:val="24"/>
          <w:szCs w:val="24"/>
        </w:rPr>
      </w:pPr>
    </w:p>
    <w:p w14:paraId="41FF318D" w14:textId="77777777" w:rsidR="00530C7D" w:rsidRDefault="00530C7D" w:rsidP="00925D60">
      <w:pPr>
        <w:pStyle w:val="NoSpacing"/>
        <w:rPr>
          <w:rFonts w:ascii="Calibri" w:hAnsi="Calibri" w:cs="Calibri"/>
          <w:sz w:val="24"/>
          <w:szCs w:val="24"/>
        </w:rPr>
      </w:pPr>
    </w:p>
    <w:p w14:paraId="48A14614" w14:textId="4B8F7F90" w:rsidR="00530C7D" w:rsidRPr="00925D60" w:rsidRDefault="00530C7D" w:rsidP="00925D60">
      <w:pPr>
        <w:pStyle w:val="NoSpacing"/>
        <w:rPr>
          <w:rFonts w:cstheme="minorHAnsi"/>
          <w:sz w:val="24"/>
          <w:szCs w:val="24"/>
        </w:rPr>
      </w:pPr>
    </w:p>
    <w:sectPr w:rsidR="00530C7D" w:rsidRPr="00925D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3D5F3" w14:textId="77777777" w:rsidR="006F0D2A" w:rsidRDefault="006F0D2A" w:rsidP="00E824A8">
      <w:r>
        <w:separator/>
      </w:r>
    </w:p>
  </w:endnote>
  <w:endnote w:type="continuationSeparator" w:id="0">
    <w:p w14:paraId="472BBEFC" w14:textId="77777777" w:rsidR="006F0D2A" w:rsidRDefault="006F0D2A" w:rsidP="00E82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F33D5" w14:textId="77777777" w:rsidR="006F0D2A" w:rsidRDefault="006F0D2A" w:rsidP="00E824A8">
      <w:r>
        <w:separator/>
      </w:r>
    </w:p>
  </w:footnote>
  <w:footnote w:type="continuationSeparator" w:id="0">
    <w:p w14:paraId="7C9B5279" w14:textId="77777777" w:rsidR="006F0D2A" w:rsidRDefault="006F0D2A" w:rsidP="00E824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00256"/>
    <w:rsid w:val="00002774"/>
    <w:rsid w:val="00002A66"/>
    <w:rsid w:val="000037D8"/>
    <w:rsid w:val="00003C8F"/>
    <w:rsid w:val="0000655D"/>
    <w:rsid w:val="0001335F"/>
    <w:rsid w:val="000142F7"/>
    <w:rsid w:val="0001586C"/>
    <w:rsid w:val="00017F4B"/>
    <w:rsid w:val="0002180F"/>
    <w:rsid w:val="00022024"/>
    <w:rsid w:val="00023BD8"/>
    <w:rsid w:val="00026201"/>
    <w:rsid w:val="00027F90"/>
    <w:rsid w:val="000309ED"/>
    <w:rsid w:val="00040106"/>
    <w:rsid w:val="00047441"/>
    <w:rsid w:val="0005164D"/>
    <w:rsid w:val="00052F43"/>
    <w:rsid w:val="00053C29"/>
    <w:rsid w:val="00057F28"/>
    <w:rsid w:val="0006022C"/>
    <w:rsid w:val="0006609C"/>
    <w:rsid w:val="0006720E"/>
    <w:rsid w:val="0007116A"/>
    <w:rsid w:val="00075F1A"/>
    <w:rsid w:val="0007604C"/>
    <w:rsid w:val="000769AD"/>
    <w:rsid w:val="00085CFA"/>
    <w:rsid w:val="00086ED9"/>
    <w:rsid w:val="00087059"/>
    <w:rsid w:val="00087251"/>
    <w:rsid w:val="0009233F"/>
    <w:rsid w:val="00093C9A"/>
    <w:rsid w:val="00093CE1"/>
    <w:rsid w:val="0009420D"/>
    <w:rsid w:val="00095061"/>
    <w:rsid w:val="00095A12"/>
    <w:rsid w:val="00095B01"/>
    <w:rsid w:val="000A0A9E"/>
    <w:rsid w:val="000A6F28"/>
    <w:rsid w:val="000B13F4"/>
    <w:rsid w:val="000B26D9"/>
    <w:rsid w:val="000C0EC1"/>
    <w:rsid w:val="000C3701"/>
    <w:rsid w:val="000C614F"/>
    <w:rsid w:val="000D2BE2"/>
    <w:rsid w:val="000D3B3F"/>
    <w:rsid w:val="000D3ECF"/>
    <w:rsid w:val="000D4B93"/>
    <w:rsid w:val="000D5586"/>
    <w:rsid w:val="000D77EE"/>
    <w:rsid w:val="000E4EB4"/>
    <w:rsid w:val="000E7F6B"/>
    <w:rsid w:val="000F6B16"/>
    <w:rsid w:val="00100EE8"/>
    <w:rsid w:val="00103031"/>
    <w:rsid w:val="00104F6F"/>
    <w:rsid w:val="00110FA4"/>
    <w:rsid w:val="00114AC0"/>
    <w:rsid w:val="0011505E"/>
    <w:rsid w:val="00125A5A"/>
    <w:rsid w:val="00125B70"/>
    <w:rsid w:val="00125E10"/>
    <w:rsid w:val="00126189"/>
    <w:rsid w:val="00133166"/>
    <w:rsid w:val="00136B79"/>
    <w:rsid w:val="0013720D"/>
    <w:rsid w:val="00147D30"/>
    <w:rsid w:val="001517F1"/>
    <w:rsid w:val="001564BE"/>
    <w:rsid w:val="00160F2D"/>
    <w:rsid w:val="00161C63"/>
    <w:rsid w:val="00163183"/>
    <w:rsid w:val="001653CC"/>
    <w:rsid w:val="0017091F"/>
    <w:rsid w:val="00173F20"/>
    <w:rsid w:val="00190F34"/>
    <w:rsid w:val="0019239B"/>
    <w:rsid w:val="00193CED"/>
    <w:rsid w:val="00194B14"/>
    <w:rsid w:val="00197666"/>
    <w:rsid w:val="001A60C6"/>
    <w:rsid w:val="001A6AF5"/>
    <w:rsid w:val="001B2EE4"/>
    <w:rsid w:val="001B7191"/>
    <w:rsid w:val="001B758B"/>
    <w:rsid w:val="001B7B66"/>
    <w:rsid w:val="001B7EA2"/>
    <w:rsid w:val="001B7FBE"/>
    <w:rsid w:val="001D2B3C"/>
    <w:rsid w:val="001D604C"/>
    <w:rsid w:val="001D635D"/>
    <w:rsid w:val="001D7B1F"/>
    <w:rsid w:val="001E1DE0"/>
    <w:rsid w:val="001E2875"/>
    <w:rsid w:val="001E482B"/>
    <w:rsid w:val="001E5411"/>
    <w:rsid w:val="001E5419"/>
    <w:rsid w:val="001E5AB8"/>
    <w:rsid w:val="001E7290"/>
    <w:rsid w:val="001F0D20"/>
    <w:rsid w:val="001F26DB"/>
    <w:rsid w:val="001F7882"/>
    <w:rsid w:val="0020339F"/>
    <w:rsid w:val="00203D71"/>
    <w:rsid w:val="00206913"/>
    <w:rsid w:val="00214446"/>
    <w:rsid w:val="00215297"/>
    <w:rsid w:val="00215645"/>
    <w:rsid w:val="00216296"/>
    <w:rsid w:val="0022105E"/>
    <w:rsid w:val="002244A9"/>
    <w:rsid w:val="002248ED"/>
    <w:rsid w:val="00226DF5"/>
    <w:rsid w:val="0023620D"/>
    <w:rsid w:val="002400BF"/>
    <w:rsid w:val="00240CA5"/>
    <w:rsid w:val="00243227"/>
    <w:rsid w:val="00243CA6"/>
    <w:rsid w:val="00255AF3"/>
    <w:rsid w:val="0025684D"/>
    <w:rsid w:val="00256D35"/>
    <w:rsid w:val="00257540"/>
    <w:rsid w:val="0026669B"/>
    <w:rsid w:val="00274AD5"/>
    <w:rsid w:val="00275B89"/>
    <w:rsid w:val="002840F7"/>
    <w:rsid w:val="00285010"/>
    <w:rsid w:val="00287397"/>
    <w:rsid w:val="00292249"/>
    <w:rsid w:val="00293AC7"/>
    <w:rsid w:val="002A4234"/>
    <w:rsid w:val="002B0C80"/>
    <w:rsid w:val="002B4217"/>
    <w:rsid w:val="002B5EDD"/>
    <w:rsid w:val="002B6B30"/>
    <w:rsid w:val="002C056C"/>
    <w:rsid w:val="002C6AF7"/>
    <w:rsid w:val="002D2C24"/>
    <w:rsid w:val="002D726E"/>
    <w:rsid w:val="002E11CD"/>
    <w:rsid w:val="002F1A20"/>
    <w:rsid w:val="002F2F04"/>
    <w:rsid w:val="002F5500"/>
    <w:rsid w:val="00300D14"/>
    <w:rsid w:val="003031AF"/>
    <w:rsid w:val="003039C4"/>
    <w:rsid w:val="00305E93"/>
    <w:rsid w:val="003108B1"/>
    <w:rsid w:val="003129F0"/>
    <w:rsid w:val="00321B10"/>
    <w:rsid w:val="00322789"/>
    <w:rsid w:val="00323309"/>
    <w:rsid w:val="00326FB6"/>
    <w:rsid w:val="00331CBD"/>
    <w:rsid w:val="003335ED"/>
    <w:rsid w:val="003362BA"/>
    <w:rsid w:val="003456E5"/>
    <w:rsid w:val="00351E51"/>
    <w:rsid w:val="003528E6"/>
    <w:rsid w:val="00352B6D"/>
    <w:rsid w:val="00357A76"/>
    <w:rsid w:val="003631A1"/>
    <w:rsid w:val="00363E70"/>
    <w:rsid w:val="00366D31"/>
    <w:rsid w:val="003714A7"/>
    <w:rsid w:val="003718A2"/>
    <w:rsid w:val="003729B7"/>
    <w:rsid w:val="003751FE"/>
    <w:rsid w:val="00376366"/>
    <w:rsid w:val="00381074"/>
    <w:rsid w:val="00384423"/>
    <w:rsid w:val="003866FE"/>
    <w:rsid w:val="003904C7"/>
    <w:rsid w:val="00395F3D"/>
    <w:rsid w:val="00396A10"/>
    <w:rsid w:val="003A4504"/>
    <w:rsid w:val="003A6D19"/>
    <w:rsid w:val="003B2AF0"/>
    <w:rsid w:val="003B2F6C"/>
    <w:rsid w:val="003C05E6"/>
    <w:rsid w:val="003C7F1B"/>
    <w:rsid w:val="003E23EE"/>
    <w:rsid w:val="003E4334"/>
    <w:rsid w:val="003E45F5"/>
    <w:rsid w:val="003E7363"/>
    <w:rsid w:val="003F392D"/>
    <w:rsid w:val="003F4256"/>
    <w:rsid w:val="003F5A77"/>
    <w:rsid w:val="00403EB0"/>
    <w:rsid w:val="004073CF"/>
    <w:rsid w:val="00407740"/>
    <w:rsid w:val="00413C83"/>
    <w:rsid w:val="004147B3"/>
    <w:rsid w:val="00417726"/>
    <w:rsid w:val="00417F3F"/>
    <w:rsid w:val="00423BB5"/>
    <w:rsid w:val="004247A4"/>
    <w:rsid w:val="004349E5"/>
    <w:rsid w:val="00434A71"/>
    <w:rsid w:val="00437396"/>
    <w:rsid w:val="00440938"/>
    <w:rsid w:val="00440C12"/>
    <w:rsid w:val="004435B1"/>
    <w:rsid w:val="00450F0E"/>
    <w:rsid w:val="0045279C"/>
    <w:rsid w:val="00457029"/>
    <w:rsid w:val="00463A01"/>
    <w:rsid w:val="00467198"/>
    <w:rsid w:val="00482FD8"/>
    <w:rsid w:val="00483A79"/>
    <w:rsid w:val="0048496A"/>
    <w:rsid w:val="0048601A"/>
    <w:rsid w:val="004861C6"/>
    <w:rsid w:val="00486BB6"/>
    <w:rsid w:val="0049373C"/>
    <w:rsid w:val="004939C5"/>
    <w:rsid w:val="0049416E"/>
    <w:rsid w:val="00494F4F"/>
    <w:rsid w:val="00495987"/>
    <w:rsid w:val="0049726D"/>
    <w:rsid w:val="0049796A"/>
    <w:rsid w:val="004A166E"/>
    <w:rsid w:val="004A3F31"/>
    <w:rsid w:val="004B3578"/>
    <w:rsid w:val="004B39D7"/>
    <w:rsid w:val="004B4C12"/>
    <w:rsid w:val="004B619E"/>
    <w:rsid w:val="004B7D59"/>
    <w:rsid w:val="004C3D0C"/>
    <w:rsid w:val="004C5697"/>
    <w:rsid w:val="004C652F"/>
    <w:rsid w:val="004D2199"/>
    <w:rsid w:val="004E05C2"/>
    <w:rsid w:val="004E0B10"/>
    <w:rsid w:val="004E2085"/>
    <w:rsid w:val="004F1870"/>
    <w:rsid w:val="00500BF3"/>
    <w:rsid w:val="005039F8"/>
    <w:rsid w:val="00524ED5"/>
    <w:rsid w:val="00525C02"/>
    <w:rsid w:val="00526044"/>
    <w:rsid w:val="00526614"/>
    <w:rsid w:val="00530C7D"/>
    <w:rsid w:val="00533C56"/>
    <w:rsid w:val="00534F35"/>
    <w:rsid w:val="0053749B"/>
    <w:rsid w:val="00537BA8"/>
    <w:rsid w:val="0054089A"/>
    <w:rsid w:val="00541700"/>
    <w:rsid w:val="00542125"/>
    <w:rsid w:val="005428CD"/>
    <w:rsid w:val="00544886"/>
    <w:rsid w:val="00545184"/>
    <w:rsid w:val="0054554F"/>
    <w:rsid w:val="00560EAD"/>
    <w:rsid w:val="0056139F"/>
    <w:rsid w:val="00561F73"/>
    <w:rsid w:val="0056317F"/>
    <w:rsid w:val="00563C59"/>
    <w:rsid w:val="00564D47"/>
    <w:rsid w:val="00566892"/>
    <w:rsid w:val="005702E1"/>
    <w:rsid w:val="00571832"/>
    <w:rsid w:val="00581959"/>
    <w:rsid w:val="00586F21"/>
    <w:rsid w:val="005900D0"/>
    <w:rsid w:val="005906A5"/>
    <w:rsid w:val="005924E4"/>
    <w:rsid w:val="00593D05"/>
    <w:rsid w:val="00594E2B"/>
    <w:rsid w:val="005972C2"/>
    <w:rsid w:val="005A035A"/>
    <w:rsid w:val="005A3ADB"/>
    <w:rsid w:val="005A7B46"/>
    <w:rsid w:val="005C5C41"/>
    <w:rsid w:val="005D4EE3"/>
    <w:rsid w:val="005D7ACD"/>
    <w:rsid w:val="005E62B2"/>
    <w:rsid w:val="005F3CCA"/>
    <w:rsid w:val="0060354F"/>
    <w:rsid w:val="0060497C"/>
    <w:rsid w:val="00604D58"/>
    <w:rsid w:val="00612256"/>
    <w:rsid w:val="006134BA"/>
    <w:rsid w:val="00617ABD"/>
    <w:rsid w:val="00623F4E"/>
    <w:rsid w:val="006317E4"/>
    <w:rsid w:val="006322D0"/>
    <w:rsid w:val="00656218"/>
    <w:rsid w:val="00657F12"/>
    <w:rsid w:val="00662D66"/>
    <w:rsid w:val="00665F06"/>
    <w:rsid w:val="00672382"/>
    <w:rsid w:val="00677290"/>
    <w:rsid w:val="00682648"/>
    <w:rsid w:val="00692AFE"/>
    <w:rsid w:val="006937A2"/>
    <w:rsid w:val="0069663B"/>
    <w:rsid w:val="006A0301"/>
    <w:rsid w:val="006B0409"/>
    <w:rsid w:val="006B0938"/>
    <w:rsid w:val="006B1180"/>
    <w:rsid w:val="006B79B8"/>
    <w:rsid w:val="006C3ABA"/>
    <w:rsid w:val="006C7D89"/>
    <w:rsid w:val="006C7EAB"/>
    <w:rsid w:val="006C7ED0"/>
    <w:rsid w:val="006D0267"/>
    <w:rsid w:val="006D3E3E"/>
    <w:rsid w:val="006D7CED"/>
    <w:rsid w:val="006E2751"/>
    <w:rsid w:val="006E3D82"/>
    <w:rsid w:val="006E5610"/>
    <w:rsid w:val="006F0D2A"/>
    <w:rsid w:val="006F6994"/>
    <w:rsid w:val="006F6F88"/>
    <w:rsid w:val="00702393"/>
    <w:rsid w:val="00710603"/>
    <w:rsid w:val="00710706"/>
    <w:rsid w:val="007107CC"/>
    <w:rsid w:val="007130E5"/>
    <w:rsid w:val="007149EC"/>
    <w:rsid w:val="00716A82"/>
    <w:rsid w:val="007171C3"/>
    <w:rsid w:val="00732254"/>
    <w:rsid w:val="00734E20"/>
    <w:rsid w:val="00744486"/>
    <w:rsid w:val="007452CC"/>
    <w:rsid w:val="0074542B"/>
    <w:rsid w:val="00747308"/>
    <w:rsid w:val="00752F96"/>
    <w:rsid w:val="007543B9"/>
    <w:rsid w:val="007549AB"/>
    <w:rsid w:val="00762AB1"/>
    <w:rsid w:val="007646A5"/>
    <w:rsid w:val="00766EC3"/>
    <w:rsid w:val="0077328D"/>
    <w:rsid w:val="00775152"/>
    <w:rsid w:val="00783F14"/>
    <w:rsid w:val="00786DB4"/>
    <w:rsid w:val="007921A9"/>
    <w:rsid w:val="00794A63"/>
    <w:rsid w:val="007A28D2"/>
    <w:rsid w:val="007B280C"/>
    <w:rsid w:val="007B4137"/>
    <w:rsid w:val="007B4A82"/>
    <w:rsid w:val="007C1966"/>
    <w:rsid w:val="007C1EDF"/>
    <w:rsid w:val="007C3993"/>
    <w:rsid w:val="007C4EAB"/>
    <w:rsid w:val="007D1593"/>
    <w:rsid w:val="007D1BD6"/>
    <w:rsid w:val="007D35E6"/>
    <w:rsid w:val="007E1D10"/>
    <w:rsid w:val="007E2F2D"/>
    <w:rsid w:val="007E4525"/>
    <w:rsid w:val="007E55DC"/>
    <w:rsid w:val="007F5FF8"/>
    <w:rsid w:val="008042D1"/>
    <w:rsid w:val="0080501E"/>
    <w:rsid w:val="00812A25"/>
    <w:rsid w:val="0081419E"/>
    <w:rsid w:val="008217AD"/>
    <w:rsid w:val="00824B68"/>
    <w:rsid w:val="008278EF"/>
    <w:rsid w:val="00827FBD"/>
    <w:rsid w:val="0083337F"/>
    <w:rsid w:val="00833A8A"/>
    <w:rsid w:val="00833E88"/>
    <w:rsid w:val="00837B7B"/>
    <w:rsid w:val="00843B92"/>
    <w:rsid w:val="00851B54"/>
    <w:rsid w:val="00851E85"/>
    <w:rsid w:val="00852E87"/>
    <w:rsid w:val="00854ACA"/>
    <w:rsid w:val="008575C8"/>
    <w:rsid w:val="00860526"/>
    <w:rsid w:val="00863993"/>
    <w:rsid w:val="00864819"/>
    <w:rsid w:val="00865727"/>
    <w:rsid w:val="00874286"/>
    <w:rsid w:val="008761D6"/>
    <w:rsid w:val="00877323"/>
    <w:rsid w:val="008832AB"/>
    <w:rsid w:val="008854B3"/>
    <w:rsid w:val="008861CE"/>
    <w:rsid w:val="00887F8A"/>
    <w:rsid w:val="00891DFD"/>
    <w:rsid w:val="00893C1B"/>
    <w:rsid w:val="00894892"/>
    <w:rsid w:val="008949C8"/>
    <w:rsid w:val="00895604"/>
    <w:rsid w:val="00896D29"/>
    <w:rsid w:val="008A210A"/>
    <w:rsid w:val="008A256D"/>
    <w:rsid w:val="008A36E8"/>
    <w:rsid w:val="008A39E3"/>
    <w:rsid w:val="008A5009"/>
    <w:rsid w:val="008A70E9"/>
    <w:rsid w:val="008B2718"/>
    <w:rsid w:val="008B3754"/>
    <w:rsid w:val="008C364D"/>
    <w:rsid w:val="008C4981"/>
    <w:rsid w:val="008D2FC5"/>
    <w:rsid w:val="008E10C9"/>
    <w:rsid w:val="008E3091"/>
    <w:rsid w:val="008E5A15"/>
    <w:rsid w:val="008E703D"/>
    <w:rsid w:val="008F2EB8"/>
    <w:rsid w:val="008F38EE"/>
    <w:rsid w:val="008F3C3F"/>
    <w:rsid w:val="008F4027"/>
    <w:rsid w:val="008F5A06"/>
    <w:rsid w:val="0090277C"/>
    <w:rsid w:val="00907E6A"/>
    <w:rsid w:val="00913344"/>
    <w:rsid w:val="009147EE"/>
    <w:rsid w:val="00914EA6"/>
    <w:rsid w:val="009160D7"/>
    <w:rsid w:val="00917480"/>
    <w:rsid w:val="00920273"/>
    <w:rsid w:val="00925D60"/>
    <w:rsid w:val="0093015F"/>
    <w:rsid w:val="00932AA5"/>
    <w:rsid w:val="00932ED7"/>
    <w:rsid w:val="0094026C"/>
    <w:rsid w:val="00942A2F"/>
    <w:rsid w:val="00953620"/>
    <w:rsid w:val="00971516"/>
    <w:rsid w:val="00975590"/>
    <w:rsid w:val="009766FA"/>
    <w:rsid w:val="00977EEB"/>
    <w:rsid w:val="00982EA0"/>
    <w:rsid w:val="00987750"/>
    <w:rsid w:val="0099156E"/>
    <w:rsid w:val="00991DAB"/>
    <w:rsid w:val="00993C62"/>
    <w:rsid w:val="00995B4D"/>
    <w:rsid w:val="009A00D8"/>
    <w:rsid w:val="009B191D"/>
    <w:rsid w:val="009B3171"/>
    <w:rsid w:val="009B429E"/>
    <w:rsid w:val="009C1873"/>
    <w:rsid w:val="009C3359"/>
    <w:rsid w:val="009C724D"/>
    <w:rsid w:val="009D1D9F"/>
    <w:rsid w:val="009D3B47"/>
    <w:rsid w:val="009D3FB8"/>
    <w:rsid w:val="009D425E"/>
    <w:rsid w:val="009D4B28"/>
    <w:rsid w:val="009D4EFF"/>
    <w:rsid w:val="009D5095"/>
    <w:rsid w:val="009E1D49"/>
    <w:rsid w:val="009E2084"/>
    <w:rsid w:val="009E2172"/>
    <w:rsid w:val="009E3832"/>
    <w:rsid w:val="009E55FE"/>
    <w:rsid w:val="009F1022"/>
    <w:rsid w:val="009F60ED"/>
    <w:rsid w:val="009F73ED"/>
    <w:rsid w:val="00A020F2"/>
    <w:rsid w:val="00A04860"/>
    <w:rsid w:val="00A07569"/>
    <w:rsid w:val="00A1254B"/>
    <w:rsid w:val="00A12625"/>
    <w:rsid w:val="00A13148"/>
    <w:rsid w:val="00A13E47"/>
    <w:rsid w:val="00A14AC3"/>
    <w:rsid w:val="00A2330D"/>
    <w:rsid w:val="00A5004E"/>
    <w:rsid w:val="00A53404"/>
    <w:rsid w:val="00A5552F"/>
    <w:rsid w:val="00A64D44"/>
    <w:rsid w:val="00A65296"/>
    <w:rsid w:val="00A70EE4"/>
    <w:rsid w:val="00A80EB7"/>
    <w:rsid w:val="00A81ECC"/>
    <w:rsid w:val="00A84A64"/>
    <w:rsid w:val="00A92EBE"/>
    <w:rsid w:val="00A941A0"/>
    <w:rsid w:val="00AB05D2"/>
    <w:rsid w:val="00AB2E50"/>
    <w:rsid w:val="00AB7840"/>
    <w:rsid w:val="00AC312A"/>
    <w:rsid w:val="00AC48BF"/>
    <w:rsid w:val="00AC7677"/>
    <w:rsid w:val="00AC7F49"/>
    <w:rsid w:val="00AD062D"/>
    <w:rsid w:val="00AD1036"/>
    <w:rsid w:val="00AD5D44"/>
    <w:rsid w:val="00AD7E8E"/>
    <w:rsid w:val="00AE31A1"/>
    <w:rsid w:val="00AF5F32"/>
    <w:rsid w:val="00B04245"/>
    <w:rsid w:val="00B107B1"/>
    <w:rsid w:val="00B122A4"/>
    <w:rsid w:val="00B13C7C"/>
    <w:rsid w:val="00B23FCC"/>
    <w:rsid w:val="00B24B57"/>
    <w:rsid w:val="00B26D09"/>
    <w:rsid w:val="00B33724"/>
    <w:rsid w:val="00B354F1"/>
    <w:rsid w:val="00B370A4"/>
    <w:rsid w:val="00B44400"/>
    <w:rsid w:val="00B5190F"/>
    <w:rsid w:val="00B5279D"/>
    <w:rsid w:val="00B550E8"/>
    <w:rsid w:val="00B5550E"/>
    <w:rsid w:val="00B55D1D"/>
    <w:rsid w:val="00B605E2"/>
    <w:rsid w:val="00B65964"/>
    <w:rsid w:val="00B66EFD"/>
    <w:rsid w:val="00B810E3"/>
    <w:rsid w:val="00B8756E"/>
    <w:rsid w:val="00B9249E"/>
    <w:rsid w:val="00B92D97"/>
    <w:rsid w:val="00B93AEF"/>
    <w:rsid w:val="00B95EB8"/>
    <w:rsid w:val="00BA1C1D"/>
    <w:rsid w:val="00BA236F"/>
    <w:rsid w:val="00BA486C"/>
    <w:rsid w:val="00BA6309"/>
    <w:rsid w:val="00BB0F3A"/>
    <w:rsid w:val="00BB407A"/>
    <w:rsid w:val="00BB6F5D"/>
    <w:rsid w:val="00BC28D8"/>
    <w:rsid w:val="00BC3466"/>
    <w:rsid w:val="00BD22AB"/>
    <w:rsid w:val="00BD35AC"/>
    <w:rsid w:val="00BD3CCC"/>
    <w:rsid w:val="00BF1C45"/>
    <w:rsid w:val="00C01D51"/>
    <w:rsid w:val="00C021A9"/>
    <w:rsid w:val="00C02950"/>
    <w:rsid w:val="00C05CD3"/>
    <w:rsid w:val="00C07A1F"/>
    <w:rsid w:val="00C108FE"/>
    <w:rsid w:val="00C11B6A"/>
    <w:rsid w:val="00C11E0E"/>
    <w:rsid w:val="00C128B1"/>
    <w:rsid w:val="00C14A34"/>
    <w:rsid w:val="00C1533C"/>
    <w:rsid w:val="00C17865"/>
    <w:rsid w:val="00C178C0"/>
    <w:rsid w:val="00C20BA7"/>
    <w:rsid w:val="00C237F7"/>
    <w:rsid w:val="00C27BF5"/>
    <w:rsid w:val="00C3363E"/>
    <w:rsid w:val="00C37B2A"/>
    <w:rsid w:val="00C404CC"/>
    <w:rsid w:val="00C42285"/>
    <w:rsid w:val="00C53BD1"/>
    <w:rsid w:val="00C57313"/>
    <w:rsid w:val="00C5756D"/>
    <w:rsid w:val="00C5779F"/>
    <w:rsid w:val="00C57E95"/>
    <w:rsid w:val="00C60527"/>
    <w:rsid w:val="00C654F2"/>
    <w:rsid w:val="00C662F1"/>
    <w:rsid w:val="00C66EE8"/>
    <w:rsid w:val="00C74569"/>
    <w:rsid w:val="00C74D71"/>
    <w:rsid w:val="00C77890"/>
    <w:rsid w:val="00C77C33"/>
    <w:rsid w:val="00C83EA9"/>
    <w:rsid w:val="00C87774"/>
    <w:rsid w:val="00C9074B"/>
    <w:rsid w:val="00C92852"/>
    <w:rsid w:val="00C96477"/>
    <w:rsid w:val="00CA1EC9"/>
    <w:rsid w:val="00CA232F"/>
    <w:rsid w:val="00CA40C5"/>
    <w:rsid w:val="00CA5553"/>
    <w:rsid w:val="00CB0253"/>
    <w:rsid w:val="00CB05DF"/>
    <w:rsid w:val="00CB5CF4"/>
    <w:rsid w:val="00CB68A4"/>
    <w:rsid w:val="00CC0429"/>
    <w:rsid w:val="00CC0818"/>
    <w:rsid w:val="00CC2620"/>
    <w:rsid w:val="00CC2F26"/>
    <w:rsid w:val="00CD4185"/>
    <w:rsid w:val="00CD533D"/>
    <w:rsid w:val="00CD5C08"/>
    <w:rsid w:val="00CD5E9D"/>
    <w:rsid w:val="00CE4218"/>
    <w:rsid w:val="00CF1538"/>
    <w:rsid w:val="00CF1B55"/>
    <w:rsid w:val="00CF2F25"/>
    <w:rsid w:val="00CF43A0"/>
    <w:rsid w:val="00D06943"/>
    <w:rsid w:val="00D10AC2"/>
    <w:rsid w:val="00D13DE1"/>
    <w:rsid w:val="00D246A1"/>
    <w:rsid w:val="00D43CDE"/>
    <w:rsid w:val="00D441DC"/>
    <w:rsid w:val="00D50A37"/>
    <w:rsid w:val="00D547DA"/>
    <w:rsid w:val="00D609A8"/>
    <w:rsid w:val="00D61D78"/>
    <w:rsid w:val="00D65E0C"/>
    <w:rsid w:val="00D676AB"/>
    <w:rsid w:val="00D707C3"/>
    <w:rsid w:val="00D70CA1"/>
    <w:rsid w:val="00D7168B"/>
    <w:rsid w:val="00D862EE"/>
    <w:rsid w:val="00D86523"/>
    <w:rsid w:val="00D920DB"/>
    <w:rsid w:val="00D94D26"/>
    <w:rsid w:val="00D97DFF"/>
    <w:rsid w:val="00DA084B"/>
    <w:rsid w:val="00DA1DF7"/>
    <w:rsid w:val="00DA2946"/>
    <w:rsid w:val="00DB60A3"/>
    <w:rsid w:val="00DC0ED7"/>
    <w:rsid w:val="00DC458B"/>
    <w:rsid w:val="00DD0681"/>
    <w:rsid w:val="00DD20F6"/>
    <w:rsid w:val="00DD35B0"/>
    <w:rsid w:val="00DD481F"/>
    <w:rsid w:val="00DF6E64"/>
    <w:rsid w:val="00E00322"/>
    <w:rsid w:val="00E01B54"/>
    <w:rsid w:val="00E02A80"/>
    <w:rsid w:val="00E02CBE"/>
    <w:rsid w:val="00E05C9D"/>
    <w:rsid w:val="00E11F48"/>
    <w:rsid w:val="00E137F1"/>
    <w:rsid w:val="00E13B41"/>
    <w:rsid w:val="00E157D0"/>
    <w:rsid w:val="00E2100A"/>
    <w:rsid w:val="00E2331F"/>
    <w:rsid w:val="00E25299"/>
    <w:rsid w:val="00E317DD"/>
    <w:rsid w:val="00E3598E"/>
    <w:rsid w:val="00E41D13"/>
    <w:rsid w:val="00E44D99"/>
    <w:rsid w:val="00E47C38"/>
    <w:rsid w:val="00E5387D"/>
    <w:rsid w:val="00E5691F"/>
    <w:rsid w:val="00E5769B"/>
    <w:rsid w:val="00E61ECA"/>
    <w:rsid w:val="00E62991"/>
    <w:rsid w:val="00E824A8"/>
    <w:rsid w:val="00E846B4"/>
    <w:rsid w:val="00E92D92"/>
    <w:rsid w:val="00E93A1E"/>
    <w:rsid w:val="00E93C79"/>
    <w:rsid w:val="00EA1286"/>
    <w:rsid w:val="00EA272B"/>
    <w:rsid w:val="00EB59C0"/>
    <w:rsid w:val="00EC31EB"/>
    <w:rsid w:val="00EC34AA"/>
    <w:rsid w:val="00EC5BCA"/>
    <w:rsid w:val="00EC7318"/>
    <w:rsid w:val="00ED1426"/>
    <w:rsid w:val="00ED19A8"/>
    <w:rsid w:val="00EE0F4D"/>
    <w:rsid w:val="00EE23E8"/>
    <w:rsid w:val="00EE4D53"/>
    <w:rsid w:val="00EF4DCD"/>
    <w:rsid w:val="00EF73A4"/>
    <w:rsid w:val="00F05869"/>
    <w:rsid w:val="00F07FED"/>
    <w:rsid w:val="00F12054"/>
    <w:rsid w:val="00F13AC1"/>
    <w:rsid w:val="00F14905"/>
    <w:rsid w:val="00F16F3F"/>
    <w:rsid w:val="00F220DE"/>
    <w:rsid w:val="00F30DB8"/>
    <w:rsid w:val="00F338BD"/>
    <w:rsid w:val="00F33DB2"/>
    <w:rsid w:val="00F347C8"/>
    <w:rsid w:val="00F34ED9"/>
    <w:rsid w:val="00F35F27"/>
    <w:rsid w:val="00F36E47"/>
    <w:rsid w:val="00F43DD0"/>
    <w:rsid w:val="00F44DAF"/>
    <w:rsid w:val="00F51BA7"/>
    <w:rsid w:val="00F53946"/>
    <w:rsid w:val="00F56C4A"/>
    <w:rsid w:val="00F60EA0"/>
    <w:rsid w:val="00F640AB"/>
    <w:rsid w:val="00F641AC"/>
    <w:rsid w:val="00F67304"/>
    <w:rsid w:val="00F675CA"/>
    <w:rsid w:val="00F70ED3"/>
    <w:rsid w:val="00F7530C"/>
    <w:rsid w:val="00F76904"/>
    <w:rsid w:val="00F82BC3"/>
    <w:rsid w:val="00F94969"/>
    <w:rsid w:val="00F964F1"/>
    <w:rsid w:val="00FA5351"/>
    <w:rsid w:val="00FA77CE"/>
    <w:rsid w:val="00FB028F"/>
    <w:rsid w:val="00FB3332"/>
    <w:rsid w:val="00FB585F"/>
    <w:rsid w:val="00FB5C6A"/>
    <w:rsid w:val="00FB68B8"/>
    <w:rsid w:val="00FC1D14"/>
    <w:rsid w:val="00FC30A2"/>
    <w:rsid w:val="00FC3A52"/>
    <w:rsid w:val="00FC4110"/>
    <w:rsid w:val="00FC43C3"/>
    <w:rsid w:val="00FC7E92"/>
    <w:rsid w:val="00FD0A98"/>
    <w:rsid w:val="00FD19FD"/>
    <w:rsid w:val="00FD2ACB"/>
    <w:rsid w:val="00FD4FE2"/>
    <w:rsid w:val="00FE0DDC"/>
    <w:rsid w:val="00FE37B2"/>
    <w:rsid w:val="00FE7DCE"/>
    <w:rsid w:val="00FF0DA3"/>
    <w:rsid w:val="00FF1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 w:type="paragraph" w:styleId="Header">
    <w:name w:val="header"/>
    <w:basedOn w:val="Normal"/>
    <w:link w:val="HeaderChar"/>
    <w:uiPriority w:val="99"/>
    <w:unhideWhenUsed/>
    <w:rsid w:val="00E824A8"/>
    <w:pPr>
      <w:tabs>
        <w:tab w:val="center" w:pos="4680"/>
        <w:tab w:val="right" w:pos="9360"/>
      </w:tabs>
    </w:pPr>
  </w:style>
  <w:style w:type="character" w:customStyle="1" w:styleId="HeaderChar">
    <w:name w:val="Header Char"/>
    <w:basedOn w:val="DefaultParagraphFont"/>
    <w:link w:val="Header"/>
    <w:uiPriority w:val="99"/>
    <w:rsid w:val="00E824A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824A8"/>
    <w:pPr>
      <w:tabs>
        <w:tab w:val="center" w:pos="4680"/>
        <w:tab w:val="right" w:pos="9360"/>
      </w:tabs>
    </w:pPr>
  </w:style>
  <w:style w:type="character" w:customStyle="1" w:styleId="FooterChar">
    <w:name w:val="Footer Char"/>
    <w:basedOn w:val="DefaultParagraphFont"/>
    <w:link w:val="Footer"/>
    <w:uiPriority w:val="99"/>
    <w:rsid w:val="00E824A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9.bin"/><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8034</TotalTime>
  <Pages>3</Pages>
  <Words>727</Words>
  <Characters>4148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196</cp:revision>
  <dcterms:created xsi:type="dcterms:W3CDTF">2019-08-06T00:12:00Z</dcterms:created>
  <dcterms:modified xsi:type="dcterms:W3CDTF">2024-01-04T21:45:00Z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