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0F8F593C" w:rsidR="00457029" w:rsidRPr="00027F90" w:rsidRDefault="0061236F" w:rsidP="00457029">
      <w:pPr>
        <w:pStyle w:val="NoSpacing"/>
        <w:jc w:val="center"/>
        <w:rPr>
          <w:b/>
          <w:sz w:val="44"/>
          <w:szCs w:val="44"/>
          <w:u w:val="single"/>
        </w:rPr>
      </w:pPr>
      <w:r>
        <w:rPr>
          <w:b/>
          <w:sz w:val="44"/>
          <w:szCs w:val="44"/>
          <w:u w:val="single"/>
        </w:rPr>
        <w:t>Magnetic</w:t>
      </w:r>
      <w:r w:rsidR="00B13C7C">
        <w:rPr>
          <w:b/>
          <w:sz w:val="44"/>
          <w:szCs w:val="44"/>
          <w:u w:val="single"/>
        </w:rPr>
        <w:t xml:space="preserve"> Susceptibility</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1CB1866A" w:rsidR="00CC0429" w:rsidRPr="00C20BA7" w:rsidRDefault="00541700" w:rsidP="00457029">
      <w:pPr>
        <w:pStyle w:val="NoSpacing"/>
        <w:rPr>
          <w:sz w:val="24"/>
          <w:szCs w:val="24"/>
        </w:rPr>
      </w:pPr>
      <w:r>
        <w:rPr>
          <w:sz w:val="24"/>
          <w:szCs w:val="24"/>
        </w:rPr>
        <w:t>We’ll take a look at</w:t>
      </w:r>
      <w:r w:rsidR="0075544A">
        <w:rPr>
          <w:sz w:val="24"/>
          <w:szCs w:val="24"/>
        </w:rPr>
        <w:t xml:space="preserve"> the dynamic</w:t>
      </w:r>
      <w:r w:rsidR="00782E09">
        <w:rPr>
          <w:sz w:val="24"/>
          <w:szCs w:val="24"/>
        </w:rPr>
        <w:t xml:space="preserve"> magnetic </w:t>
      </w:r>
      <w:r w:rsidR="0075544A">
        <w:rPr>
          <w:sz w:val="24"/>
          <w:szCs w:val="24"/>
        </w:rPr>
        <w:t xml:space="preserve">susceptibility.  Basically same considerations as in the time-independent case.  Only now, the system won’t be able, presumably, to settle into thermodynamic equilibrium.  We’ll have to use non-equilibrium statistical mechanics to calculate these response functions.  </w:t>
      </w:r>
    </w:p>
    <w:p w14:paraId="6B022F52" w14:textId="19073D4F" w:rsidR="001E5411" w:rsidRDefault="001E5411" w:rsidP="0090277C">
      <w:pPr>
        <w:pStyle w:val="NoSpacing"/>
        <w:rPr>
          <w:rFonts w:cstheme="minorHAnsi"/>
          <w:sz w:val="24"/>
          <w:szCs w:val="24"/>
        </w:rPr>
      </w:pPr>
    </w:p>
    <w:p w14:paraId="0C1457CA" w14:textId="77777777" w:rsidR="00782E09" w:rsidRPr="00AE31A1" w:rsidRDefault="00782E09" w:rsidP="00782E09">
      <w:pPr>
        <w:pStyle w:val="NoSpacing"/>
        <w:rPr>
          <w:rFonts w:cstheme="minorHAnsi"/>
          <w:b/>
          <w:sz w:val="28"/>
          <w:szCs w:val="28"/>
        </w:rPr>
      </w:pPr>
      <w:r>
        <w:rPr>
          <w:rFonts w:cstheme="minorHAnsi"/>
          <w:b/>
          <w:sz w:val="28"/>
          <w:szCs w:val="28"/>
        </w:rPr>
        <w:t>Magnetic</w:t>
      </w:r>
      <w:r w:rsidRPr="00AE31A1">
        <w:rPr>
          <w:rFonts w:cstheme="minorHAnsi"/>
          <w:b/>
          <w:sz w:val="28"/>
          <w:szCs w:val="28"/>
        </w:rPr>
        <w:t xml:space="preserve"> Susceptibility</w:t>
      </w:r>
      <w:r>
        <w:rPr>
          <w:rFonts w:cstheme="minorHAnsi"/>
          <w:b/>
          <w:sz w:val="28"/>
          <w:szCs w:val="28"/>
        </w:rPr>
        <w:t xml:space="preserve"> Definitions</w:t>
      </w:r>
    </w:p>
    <w:p w14:paraId="03788DB8" w14:textId="35B67869" w:rsidR="00782E09" w:rsidRDefault="00782E09" w:rsidP="00782E09">
      <w:pPr>
        <w:pStyle w:val="NoSpacing"/>
        <w:rPr>
          <w:sz w:val="24"/>
          <w:szCs w:val="24"/>
        </w:rPr>
      </w:pPr>
      <w:r>
        <w:rPr>
          <w:sz w:val="24"/>
          <w:szCs w:val="24"/>
        </w:rPr>
        <w:t>So we have the current induced by the magnetization,</w:t>
      </w:r>
    </w:p>
    <w:p w14:paraId="42E186B3" w14:textId="77777777" w:rsidR="00782E09" w:rsidRDefault="00782E09" w:rsidP="00782E09">
      <w:pPr>
        <w:pStyle w:val="NoSpacing"/>
        <w:rPr>
          <w:sz w:val="24"/>
          <w:szCs w:val="24"/>
        </w:rPr>
      </w:pPr>
    </w:p>
    <w:p w14:paraId="60F961B8" w14:textId="77777777" w:rsidR="00782E09" w:rsidRPr="00437396" w:rsidRDefault="00782E09" w:rsidP="00782E09">
      <w:pPr>
        <w:pStyle w:val="NoSpacing"/>
        <w:rPr>
          <w:sz w:val="24"/>
          <w:szCs w:val="24"/>
        </w:rPr>
      </w:pPr>
      <w:r w:rsidRPr="00BB5B1D">
        <w:rPr>
          <w:position w:val="-18"/>
        </w:rPr>
        <w:object w:dxaOrig="7940" w:dyaOrig="480" w14:anchorId="24908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pt;height:24pt" o:ole="" filled="t" fillcolor="#cfc">
            <v:imagedata r:id="rId6" o:title=""/>
          </v:shape>
          <o:OLEObject Type="Embed" ProgID="Equation.DSMT4" ShapeID="_x0000_i1025" DrawAspect="Content" ObjectID="_1761894637" r:id="rId7"/>
        </w:object>
      </w:r>
    </w:p>
    <w:p w14:paraId="5A26CC86" w14:textId="77777777" w:rsidR="00782E09" w:rsidRDefault="00782E09" w:rsidP="00782E09">
      <w:pPr>
        <w:pStyle w:val="NoSpacing"/>
        <w:rPr>
          <w:b/>
          <w:sz w:val="24"/>
          <w:szCs w:val="24"/>
        </w:rPr>
      </w:pPr>
    </w:p>
    <w:p w14:paraId="1D81141D" w14:textId="77777777" w:rsidR="00782E09" w:rsidRDefault="00782E09" w:rsidP="00782E09">
      <w:pPr>
        <w:pStyle w:val="NoSpacing"/>
        <w:rPr>
          <w:sz w:val="24"/>
          <w:szCs w:val="24"/>
        </w:rPr>
      </w:pPr>
      <w:r>
        <w:rPr>
          <w:sz w:val="24"/>
          <w:szCs w:val="24"/>
        </w:rPr>
        <w:t xml:space="preserve">We can take the Fourier transform of both sides, </w:t>
      </w:r>
    </w:p>
    <w:p w14:paraId="7BED516E" w14:textId="77777777" w:rsidR="00782E09" w:rsidRDefault="00782E09" w:rsidP="00782E09">
      <w:pPr>
        <w:pStyle w:val="NoSpacing"/>
        <w:rPr>
          <w:sz w:val="24"/>
          <w:szCs w:val="24"/>
        </w:rPr>
      </w:pPr>
    </w:p>
    <w:p w14:paraId="5A59F24E" w14:textId="77777777" w:rsidR="00782E09" w:rsidRDefault="00782E09" w:rsidP="00782E09">
      <w:pPr>
        <w:pStyle w:val="NoSpacing"/>
      </w:pPr>
      <w:r w:rsidRPr="00B2591F">
        <w:rPr>
          <w:position w:val="-12"/>
        </w:rPr>
        <w:object w:dxaOrig="6280" w:dyaOrig="360" w14:anchorId="585B2499">
          <v:shape id="_x0000_i1026" type="#_x0000_t75" style="width:314pt;height:18pt" o:ole="" filled="t" fillcolor="#cfc">
            <v:imagedata r:id="rId8" o:title=""/>
          </v:shape>
          <o:OLEObject Type="Embed" ProgID="Equation.DSMT4" ShapeID="_x0000_i1026" DrawAspect="Content" ObjectID="_1761894638" r:id="rId9"/>
        </w:object>
      </w:r>
    </w:p>
    <w:p w14:paraId="47B1723A" w14:textId="77777777" w:rsidR="00782E09" w:rsidRDefault="00782E09" w:rsidP="00782E09">
      <w:pPr>
        <w:rPr>
          <w:rFonts w:ascii="Calibri" w:hAnsi="Calibri" w:cs="Calibri"/>
        </w:rPr>
      </w:pPr>
    </w:p>
    <w:p w14:paraId="7D77F761" w14:textId="77777777" w:rsidR="00782E09" w:rsidRDefault="00782E09" w:rsidP="00782E09">
      <w:pPr>
        <w:rPr>
          <w:rFonts w:ascii="Calibri" w:hAnsi="Calibri" w:cs="Calibri"/>
        </w:rPr>
      </w:pPr>
      <w:r>
        <w:rPr>
          <w:rFonts w:ascii="Calibri" w:hAnsi="Calibri" w:cs="Calibri"/>
        </w:rPr>
        <w:t>Normally, we’d be definining,</w:t>
      </w:r>
    </w:p>
    <w:p w14:paraId="7E5A3C0C" w14:textId="77777777" w:rsidR="00782E09" w:rsidRDefault="00782E09" w:rsidP="00782E09">
      <w:pPr>
        <w:rPr>
          <w:rFonts w:ascii="Calibri" w:hAnsi="Calibri" w:cs="Calibri"/>
        </w:rPr>
      </w:pPr>
    </w:p>
    <w:p w14:paraId="66BE8348" w14:textId="77777777" w:rsidR="00782E09" w:rsidRDefault="00782E09" w:rsidP="00782E09">
      <w:r w:rsidRPr="00595A81">
        <w:rPr>
          <w:position w:val="-12"/>
        </w:rPr>
        <w:object w:dxaOrig="1660" w:dyaOrig="360" w14:anchorId="3B97DE0B">
          <v:shape id="_x0000_i1027" type="#_x0000_t75" style="width:83pt;height:18pt" o:ole="">
            <v:imagedata r:id="rId10" o:title=""/>
          </v:shape>
          <o:OLEObject Type="Embed" ProgID="Equation.DSMT4" ShapeID="_x0000_i1027" DrawAspect="Content" ObjectID="_1761894639" r:id="rId11"/>
        </w:object>
      </w:r>
    </w:p>
    <w:p w14:paraId="35BF42CA" w14:textId="77777777" w:rsidR="00782E09" w:rsidRDefault="00782E09" w:rsidP="00782E09">
      <w:pPr>
        <w:pStyle w:val="NoSpacing"/>
        <w:rPr>
          <w:b/>
          <w:sz w:val="24"/>
          <w:szCs w:val="24"/>
        </w:rPr>
      </w:pPr>
    </w:p>
    <w:p w14:paraId="66086913" w14:textId="45FA9113" w:rsidR="000640D3" w:rsidRDefault="000640D3" w:rsidP="000640D3">
      <w:pPr>
        <w:pStyle w:val="NoSpacing"/>
        <w:rPr>
          <w:rFonts w:ascii="Calibri" w:hAnsi="Calibri" w:cs="Calibri"/>
        </w:rPr>
      </w:pPr>
      <w:r>
        <w:rPr>
          <w:sz w:val="24"/>
          <w:szCs w:val="24"/>
        </w:rPr>
        <w:t xml:space="preserve">And we still do.  This definition doesn’t really presume interacting dipoles.  For instance, the magnetization of a single dipole would still have to saturate, which phenomenologically wouldn’t happen if M were simply proportional to B.  Then it could grow without bound as </w:t>
      </w:r>
      <w:r w:rsidRPr="000640D3">
        <w:rPr>
          <w:sz w:val="24"/>
          <w:szCs w:val="24"/>
        </w:rPr>
        <w:t>B</w:t>
      </w:r>
      <w:r>
        <w:rPr>
          <w:sz w:val="24"/>
          <w:szCs w:val="24"/>
        </w:rPr>
        <w:t xml:space="preserve"> does.  Taking the Fourier transform.  We have:</w:t>
      </w:r>
    </w:p>
    <w:p w14:paraId="6BB3DBA3" w14:textId="77777777" w:rsidR="000640D3" w:rsidRDefault="000640D3" w:rsidP="000640D3">
      <w:pPr>
        <w:rPr>
          <w:rFonts w:ascii="Calibri" w:hAnsi="Calibri" w:cs="Calibri"/>
        </w:rPr>
      </w:pPr>
    </w:p>
    <w:p w14:paraId="6DFDDEF8" w14:textId="77777777" w:rsidR="000640D3" w:rsidRDefault="000640D3" w:rsidP="000640D3">
      <w:r w:rsidRPr="00595A81">
        <w:rPr>
          <w:position w:val="-12"/>
        </w:rPr>
        <w:object w:dxaOrig="3300" w:dyaOrig="360" w14:anchorId="5D85E7FE">
          <v:shape id="_x0000_i1028" type="#_x0000_t75" style="width:165pt;height:18pt" o:ole="">
            <v:imagedata r:id="rId12" o:title=""/>
          </v:shape>
          <o:OLEObject Type="Embed" ProgID="Equation.DSMT4" ShapeID="_x0000_i1028" DrawAspect="Content" ObjectID="_1761894640" r:id="rId13"/>
        </w:object>
      </w:r>
    </w:p>
    <w:p w14:paraId="3F5FB985" w14:textId="77777777" w:rsidR="000640D3" w:rsidRDefault="000640D3" w:rsidP="000640D3"/>
    <w:p w14:paraId="565CECAC" w14:textId="77777777" w:rsidR="000640D3" w:rsidRDefault="000640D3" w:rsidP="000640D3">
      <w:pPr>
        <w:rPr>
          <w:rFonts w:ascii="Calibri" w:hAnsi="Calibri" w:cs="Calibri"/>
        </w:rPr>
      </w:pPr>
      <w:r>
        <w:rPr>
          <w:rFonts w:ascii="Calibri" w:hAnsi="Calibri" w:cs="Calibri"/>
        </w:rPr>
        <w:t>Then using,</w:t>
      </w:r>
    </w:p>
    <w:p w14:paraId="45F055A8" w14:textId="77777777" w:rsidR="000640D3" w:rsidRDefault="000640D3" w:rsidP="000640D3">
      <w:pPr>
        <w:rPr>
          <w:rFonts w:ascii="Calibri" w:hAnsi="Calibri" w:cs="Calibri"/>
        </w:rPr>
      </w:pPr>
    </w:p>
    <w:p w14:paraId="3012D956" w14:textId="77777777" w:rsidR="000640D3" w:rsidRDefault="000640D3" w:rsidP="000640D3">
      <w:pPr>
        <w:rPr>
          <w:rFonts w:ascii="Calibri" w:hAnsi="Calibri" w:cs="Calibri"/>
        </w:rPr>
      </w:pPr>
      <w:r w:rsidRPr="006A758B">
        <w:rPr>
          <w:position w:val="-12"/>
        </w:rPr>
        <w:object w:dxaOrig="2600" w:dyaOrig="360" w14:anchorId="7521F135">
          <v:shape id="_x0000_i1029" type="#_x0000_t75" style="width:130pt;height:18pt" o:ole="">
            <v:imagedata r:id="rId14" o:title=""/>
          </v:shape>
          <o:OLEObject Type="Embed" ProgID="Equation.DSMT4" ShapeID="_x0000_i1029" DrawAspect="Content" ObjectID="_1761894641" r:id="rId15"/>
        </w:object>
      </w:r>
    </w:p>
    <w:p w14:paraId="5E2880C5" w14:textId="77777777" w:rsidR="000640D3" w:rsidRDefault="000640D3" w:rsidP="000640D3">
      <w:pPr>
        <w:rPr>
          <w:rFonts w:ascii="Calibri" w:hAnsi="Calibri" w:cs="Calibri"/>
        </w:rPr>
      </w:pPr>
    </w:p>
    <w:p w14:paraId="52E0FF2D" w14:textId="77777777" w:rsidR="000640D3" w:rsidRDefault="000640D3" w:rsidP="000640D3">
      <w:pPr>
        <w:rPr>
          <w:rFonts w:ascii="Calibri" w:hAnsi="Calibri" w:cs="Calibri"/>
        </w:rPr>
      </w:pPr>
      <w:r>
        <w:rPr>
          <w:rFonts w:ascii="Calibri" w:hAnsi="Calibri" w:cs="Calibri"/>
        </w:rPr>
        <w:t>And plugging this equation into the 1</w:t>
      </w:r>
      <w:r w:rsidRPr="006A758B">
        <w:rPr>
          <w:rFonts w:ascii="Calibri" w:hAnsi="Calibri" w:cs="Calibri"/>
          <w:vertAlign w:val="superscript"/>
        </w:rPr>
        <w:t>st</w:t>
      </w:r>
      <w:r>
        <w:rPr>
          <w:rFonts w:ascii="Calibri" w:hAnsi="Calibri" w:cs="Calibri"/>
        </w:rPr>
        <w:t xml:space="preserve"> we have:</w:t>
      </w:r>
    </w:p>
    <w:p w14:paraId="1CAA339F" w14:textId="77777777" w:rsidR="000640D3" w:rsidRDefault="000640D3" w:rsidP="000640D3">
      <w:pPr>
        <w:rPr>
          <w:rFonts w:ascii="Calibri" w:hAnsi="Calibri" w:cs="Calibri"/>
        </w:rPr>
      </w:pPr>
    </w:p>
    <w:p w14:paraId="488B1F2C" w14:textId="77777777" w:rsidR="000640D3" w:rsidRDefault="000640D3" w:rsidP="000640D3">
      <w:r w:rsidRPr="006A758B">
        <w:rPr>
          <w:position w:val="-46"/>
        </w:rPr>
        <w:object w:dxaOrig="4080" w:dyaOrig="1040" w14:anchorId="322F7AB6">
          <v:shape id="_x0000_i1030" type="#_x0000_t75" style="width:204pt;height:52pt" o:ole="">
            <v:imagedata r:id="rId16" o:title=""/>
          </v:shape>
          <o:OLEObject Type="Embed" ProgID="Equation.DSMT4" ShapeID="_x0000_i1030" DrawAspect="Content" ObjectID="_1761894642" r:id="rId17"/>
        </w:object>
      </w:r>
    </w:p>
    <w:p w14:paraId="1C37AE9B" w14:textId="77777777" w:rsidR="000640D3" w:rsidRDefault="000640D3" w:rsidP="000640D3"/>
    <w:p w14:paraId="1F323F10" w14:textId="77777777" w:rsidR="000640D3" w:rsidRDefault="000640D3" w:rsidP="000640D3">
      <w:pPr>
        <w:rPr>
          <w:rFonts w:ascii="Calibri" w:hAnsi="Calibri" w:cs="Calibri"/>
        </w:rPr>
      </w:pPr>
      <w:r>
        <w:rPr>
          <w:rFonts w:ascii="Calibri" w:hAnsi="Calibri" w:cs="Calibri"/>
        </w:rPr>
        <w:t>and so,</w:t>
      </w:r>
    </w:p>
    <w:p w14:paraId="65A9F89D" w14:textId="77777777" w:rsidR="000640D3" w:rsidRDefault="000640D3" w:rsidP="000640D3">
      <w:pPr>
        <w:rPr>
          <w:rFonts w:ascii="Calibri" w:hAnsi="Calibri" w:cs="Calibri"/>
        </w:rPr>
      </w:pPr>
    </w:p>
    <w:p w14:paraId="44B39AE4" w14:textId="1D167489" w:rsidR="000640D3" w:rsidRDefault="000640D3" w:rsidP="000640D3">
      <w:pPr>
        <w:rPr>
          <w:rFonts w:ascii="Calibri" w:hAnsi="Calibri" w:cs="Calibri"/>
        </w:rPr>
      </w:pPr>
      <w:r w:rsidRPr="009B4FF8">
        <w:rPr>
          <w:position w:val="-30"/>
        </w:rPr>
        <w:object w:dxaOrig="6180" w:dyaOrig="680" w14:anchorId="628366B7">
          <v:shape id="_x0000_i1031" type="#_x0000_t75" style="width:308.5pt;height:34pt" o:ole="" filled="t" fillcolor="#cfc">
            <v:imagedata r:id="rId18" o:title=""/>
          </v:shape>
          <o:OLEObject Type="Embed" ProgID="Equation.DSMT4" ShapeID="_x0000_i1031" DrawAspect="Content" ObjectID="_1761894643" r:id="rId19"/>
        </w:object>
      </w:r>
    </w:p>
    <w:p w14:paraId="73FF4F42" w14:textId="77777777" w:rsidR="00782E09" w:rsidRDefault="00782E09" w:rsidP="00457029">
      <w:pPr>
        <w:pStyle w:val="NoSpacing"/>
        <w:rPr>
          <w:b/>
          <w:sz w:val="24"/>
          <w:szCs w:val="24"/>
        </w:rPr>
      </w:pPr>
    </w:p>
    <w:p w14:paraId="4BCAD8D6" w14:textId="77777777" w:rsidR="00C02F44" w:rsidRPr="00B458CF" w:rsidRDefault="00C02F44" w:rsidP="00C02F44">
      <w:pPr>
        <w:pStyle w:val="NoSpacing"/>
        <w:rPr>
          <w:b/>
          <w:sz w:val="28"/>
          <w:szCs w:val="28"/>
        </w:rPr>
      </w:pPr>
      <w:r w:rsidRPr="00B458CF">
        <w:rPr>
          <w:b/>
          <w:sz w:val="28"/>
          <w:szCs w:val="28"/>
        </w:rPr>
        <w:t xml:space="preserve">Putting </w:t>
      </w:r>
      <w:r w:rsidRPr="00B458CF">
        <w:rPr>
          <w:rFonts w:ascii="Calibri" w:hAnsi="Calibri" w:cs="Calibri"/>
          <w:b/>
          <w:sz w:val="28"/>
          <w:szCs w:val="28"/>
        </w:rPr>
        <w:t>χ</w:t>
      </w:r>
      <w:r w:rsidRPr="00B458CF">
        <w:rPr>
          <w:b/>
          <w:sz w:val="28"/>
          <w:szCs w:val="28"/>
          <w:vertAlign w:val="subscript"/>
        </w:rPr>
        <w:t>m</w:t>
      </w:r>
      <w:r w:rsidRPr="00B458CF">
        <w:rPr>
          <w:b/>
          <w:sz w:val="28"/>
          <w:szCs w:val="28"/>
        </w:rPr>
        <w:t xml:space="preserve"> in terms of GF</w:t>
      </w:r>
    </w:p>
    <w:p w14:paraId="3FED744A" w14:textId="188ED26B" w:rsidR="00C02F44" w:rsidRDefault="006C06C4" w:rsidP="00C02F44">
      <w:pPr>
        <w:pStyle w:val="NoSpacing"/>
        <w:rPr>
          <w:sz w:val="24"/>
          <w:szCs w:val="24"/>
        </w:rPr>
      </w:pPr>
      <w:r>
        <w:rPr>
          <w:sz w:val="24"/>
          <w:szCs w:val="24"/>
        </w:rPr>
        <w:t xml:space="preserve">Would like to work out a GF expression for the magnetic susceptibility.  </w:t>
      </w:r>
      <w:r w:rsidR="00C02F44">
        <w:rPr>
          <w:sz w:val="24"/>
          <w:szCs w:val="24"/>
        </w:rPr>
        <w:t>Our Hamiltonian for the interacting electron model in a magnetic field and jelly would be, in the position basis (last two V terms comprise e-e, e-jelly + jelly-jelly):</w:t>
      </w:r>
    </w:p>
    <w:p w14:paraId="13931FF7" w14:textId="77777777" w:rsidR="00C02F44" w:rsidRDefault="00C02F44" w:rsidP="00C02F44">
      <w:pPr>
        <w:pStyle w:val="NoSpacing"/>
        <w:rPr>
          <w:sz w:val="24"/>
          <w:szCs w:val="24"/>
        </w:rPr>
      </w:pPr>
    </w:p>
    <w:p w14:paraId="0E3DFB7C" w14:textId="77777777" w:rsidR="00C02F44" w:rsidRDefault="00C02F44" w:rsidP="00C02F44">
      <w:pPr>
        <w:pStyle w:val="NoSpacing"/>
      </w:pPr>
      <w:r w:rsidRPr="00874A12">
        <w:rPr>
          <w:position w:val="-56"/>
        </w:rPr>
        <w:object w:dxaOrig="8580" w:dyaOrig="1240" w14:anchorId="7611C40C">
          <v:shape id="_x0000_i1032" type="#_x0000_t75" style="width:453.5pt;height:65pt" o:ole="">
            <v:imagedata r:id="rId20" o:title=""/>
          </v:shape>
          <o:OLEObject Type="Embed" ProgID="Equation.DSMT4" ShapeID="_x0000_i1032" DrawAspect="Content" ObjectID="_1761894644" r:id="rId21"/>
        </w:object>
      </w:r>
    </w:p>
    <w:p w14:paraId="7AE572B9" w14:textId="77777777" w:rsidR="00C02F44" w:rsidRPr="00C74B94" w:rsidRDefault="00C02F44" w:rsidP="00C02F44">
      <w:pPr>
        <w:pStyle w:val="NoSpacing"/>
        <w:rPr>
          <w:sz w:val="24"/>
          <w:szCs w:val="24"/>
        </w:rPr>
      </w:pPr>
    </w:p>
    <w:p w14:paraId="4F6F29A1" w14:textId="26FB2668" w:rsidR="00C02F44" w:rsidRDefault="00C02F44" w:rsidP="00C02F44">
      <w:pPr>
        <w:pStyle w:val="NoSpacing"/>
        <w:rPr>
          <w:sz w:val="24"/>
          <w:szCs w:val="24"/>
        </w:rPr>
      </w:pPr>
      <w:r w:rsidRPr="00EE1E8B">
        <w:rPr>
          <w:sz w:val="24"/>
          <w:szCs w:val="24"/>
        </w:rPr>
        <w:t xml:space="preserve">where </w:t>
      </w:r>
      <w:r w:rsidRPr="00EE1E8B">
        <w:rPr>
          <w:b/>
          <w:sz w:val="24"/>
          <w:szCs w:val="24"/>
        </w:rPr>
        <w:t>S</w:t>
      </w:r>
      <w:r w:rsidRPr="00EE1E8B">
        <w:rPr>
          <w:sz w:val="24"/>
          <w:szCs w:val="24"/>
          <w:vertAlign w:val="subscript"/>
        </w:rPr>
        <w:t>σσ´</w:t>
      </w:r>
      <w:r w:rsidRPr="00EE1E8B">
        <w:rPr>
          <w:sz w:val="24"/>
          <w:szCs w:val="24"/>
        </w:rPr>
        <w:t xml:space="preserve"> = (</w:t>
      </w:r>
      <w:r w:rsidRPr="00EE1E8B">
        <w:rPr>
          <w:rFonts w:ascii="Cambria Math" w:hAnsi="Cambria Math"/>
          <w:sz w:val="24"/>
          <w:szCs w:val="24"/>
        </w:rPr>
        <w:t>1</w:t>
      </w:r>
      <w:r w:rsidRPr="00EE1E8B">
        <w:rPr>
          <w:sz w:val="24"/>
          <w:szCs w:val="24"/>
        </w:rPr>
        <w:t>/2)[σ</w:t>
      </w:r>
      <w:r w:rsidRPr="00EE1E8B">
        <w:rPr>
          <w:sz w:val="24"/>
          <w:szCs w:val="24"/>
          <w:vertAlign w:val="subscript"/>
        </w:rPr>
        <w:t>x</w:t>
      </w:r>
      <w:r w:rsidRPr="00EE1E8B">
        <w:rPr>
          <w:b/>
          <w:sz w:val="24"/>
          <w:szCs w:val="24"/>
        </w:rPr>
        <w:t>i</w:t>
      </w:r>
      <w:r w:rsidRPr="00EE1E8B">
        <w:rPr>
          <w:sz w:val="24"/>
          <w:szCs w:val="24"/>
        </w:rPr>
        <w:t xml:space="preserve"> + σ</w:t>
      </w:r>
      <w:r w:rsidRPr="00EE1E8B">
        <w:rPr>
          <w:sz w:val="24"/>
          <w:szCs w:val="24"/>
          <w:vertAlign w:val="subscript"/>
        </w:rPr>
        <w:t>y</w:t>
      </w:r>
      <w:r w:rsidRPr="00EE1E8B">
        <w:rPr>
          <w:b/>
          <w:sz w:val="24"/>
          <w:szCs w:val="24"/>
        </w:rPr>
        <w:t>j</w:t>
      </w:r>
      <w:r w:rsidRPr="00EE1E8B">
        <w:rPr>
          <w:sz w:val="24"/>
          <w:szCs w:val="24"/>
        </w:rPr>
        <w:t xml:space="preserve"> + σ</w:t>
      </w:r>
      <w:r w:rsidRPr="00EE1E8B">
        <w:rPr>
          <w:sz w:val="24"/>
          <w:szCs w:val="24"/>
          <w:vertAlign w:val="subscript"/>
        </w:rPr>
        <w:t>z</w:t>
      </w:r>
      <w:r w:rsidRPr="00EE1E8B">
        <w:rPr>
          <w:b/>
          <w:sz w:val="24"/>
          <w:szCs w:val="24"/>
        </w:rPr>
        <w:t>k</w:t>
      </w:r>
      <w:r w:rsidRPr="00EE1E8B">
        <w:rPr>
          <w:sz w:val="24"/>
          <w:szCs w:val="24"/>
        </w:rPr>
        <w:t>] and σσ´ are indices and σ</w:t>
      </w:r>
      <w:r w:rsidRPr="00EE1E8B">
        <w:rPr>
          <w:sz w:val="24"/>
          <w:szCs w:val="24"/>
          <w:vertAlign w:val="subscript"/>
        </w:rPr>
        <w:t>x,y,z</w:t>
      </w:r>
      <w:r w:rsidRPr="00EE1E8B">
        <w:rPr>
          <w:sz w:val="24"/>
          <w:szCs w:val="24"/>
        </w:rPr>
        <w:t xml:space="preserve"> are the Pauli-spin matrices (see the 2</w:t>
      </w:r>
      <w:r w:rsidRPr="00EE1E8B">
        <w:rPr>
          <w:sz w:val="24"/>
          <w:szCs w:val="24"/>
          <w:vertAlign w:val="superscript"/>
        </w:rPr>
        <w:t>nd</w:t>
      </w:r>
      <w:r w:rsidRPr="00EE1E8B">
        <w:rPr>
          <w:sz w:val="24"/>
          <w:szCs w:val="24"/>
        </w:rPr>
        <w:t xml:space="preserve"> quantization file for the spin part).  </w:t>
      </w:r>
      <w:r w:rsidR="006C06C4">
        <w:rPr>
          <w:sz w:val="24"/>
          <w:szCs w:val="24"/>
        </w:rPr>
        <w:t xml:space="preserve">But note it is the </w:t>
      </w:r>
      <w:r w:rsidR="006C06C4" w:rsidRPr="006C06C4">
        <w:rPr>
          <w:i/>
          <w:sz w:val="24"/>
          <w:szCs w:val="24"/>
        </w:rPr>
        <w:t>total</w:t>
      </w:r>
      <w:r w:rsidR="006C06C4">
        <w:rPr>
          <w:sz w:val="24"/>
          <w:szCs w:val="24"/>
        </w:rPr>
        <w:t xml:space="preserve"> interstitial B and A which enter into the Hamiltonian, not the external B and A.  </w:t>
      </w:r>
      <w:r>
        <w:rPr>
          <w:sz w:val="24"/>
          <w:szCs w:val="24"/>
        </w:rPr>
        <w:t>Reprising our work in the Conduction file to simplify the first part, we find:</w:t>
      </w:r>
    </w:p>
    <w:p w14:paraId="769CDA3B" w14:textId="77777777" w:rsidR="00C02F44" w:rsidRDefault="00C02F44" w:rsidP="00C02F44">
      <w:pPr>
        <w:pStyle w:val="NoSpacing"/>
        <w:rPr>
          <w:sz w:val="24"/>
          <w:szCs w:val="24"/>
        </w:rPr>
      </w:pPr>
    </w:p>
    <w:p w14:paraId="7A6CF3FA" w14:textId="77777777" w:rsidR="00C02F44" w:rsidRDefault="00C02F44" w:rsidP="00C02F44">
      <w:pPr>
        <w:pStyle w:val="NoSpacing"/>
        <w:rPr>
          <w:sz w:val="24"/>
          <w:szCs w:val="24"/>
        </w:rPr>
      </w:pPr>
      <w:r w:rsidRPr="00145668">
        <w:rPr>
          <w:position w:val="-62"/>
        </w:rPr>
        <w:object w:dxaOrig="8460" w:dyaOrig="1359" w14:anchorId="229AF121">
          <v:shape id="_x0000_i1033" type="#_x0000_t75" style="width:401.5pt;height:66.5pt" o:ole="">
            <v:imagedata r:id="rId22" o:title=""/>
          </v:shape>
          <o:OLEObject Type="Embed" ProgID="Equation.DSMT4" ShapeID="_x0000_i1033" DrawAspect="Content" ObjectID="_1761894645" r:id="rId23"/>
        </w:object>
      </w:r>
    </w:p>
    <w:p w14:paraId="40D8C969" w14:textId="77777777" w:rsidR="00C02F44" w:rsidRDefault="00C02F44" w:rsidP="00C02F44">
      <w:pPr>
        <w:pStyle w:val="NoSpacing"/>
        <w:rPr>
          <w:sz w:val="24"/>
          <w:szCs w:val="24"/>
        </w:rPr>
      </w:pPr>
    </w:p>
    <w:p w14:paraId="57B3AA45" w14:textId="77777777" w:rsidR="00C02F44" w:rsidRPr="008617F4" w:rsidRDefault="00C02F44" w:rsidP="00C02F44">
      <w:pPr>
        <w:pStyle w:val="NoSpacing"/>
        <w:rPr>
          <w:sz w:val="24"/>
          <w:szCs w:val="24"/>
        </w:rPr>
      </w:pPr>
      <w:r w:rsidRPr="008617F4">
        <w:rPr>
          <w:sz w:val="24"/>
          <w:szCs w:val="24"/>
        </w:rPr>
        <w:t>where,</w:t>
      </w:r>
    </w:p>
    <w:p w14:paraId="2297ECD7" w14:textId="77777777" w:rsidR="00C02F44" w:rsidRDefault="00C02F44" w:rsidP="00C02F44">
      <w:pPr>
        <w:pStyle w:val="NoSpacing"/>
      </w:pPr>
    </w:p>
    <w:p w14:paraId="3965AA6E" w14:textId="77777777" w:rsidR="00C02F44" w:rsidRDefault="00C02F44" w:rsidP="00C02F44">
      <w:pPr>
        <w:pStyle w:val="NoSpacing"/>
      </w:pPr>
      <w:r w:rsidRPr="00434868">
        <w:rPr>
          <w:position w:val="-28"/>
        </w:rPr>
        <w:object w:dxaOrig="4300" w:dyaOrig="660" w14:anchorId="2D2140B4">
          <v:shape id="_x0000_i1034" type="#_x0000_t75" style="width:3in;height:36.5pt" o:ole="">
            <v:imagedata r:id="rId24" o:title=""/>
          </v:shape>
          <o:OLEObject Type="Embed" ProgID="Equation.DSMT4" ShapeID="_x0000_i1034" DrawAspect="Content" ObjectID="_1761894646" r:id="rId25"/>
        </w:object>
      </w:r>
    </w:p>
    <w:p w14:paraId="0C480BE4" w14:textId="77777777" w:rsidR="00C02F44" w:rsidRDefault="00C02F44" w:rsidP="00C02F44">
      <w:pPr>
        <w:pStyle w:val="NoSpacing"/>
      </w:pPr>
    </w:p>
    <w:p w14:paraId="42FCD9B5" w14:textId="77777777" w:rsidR="00C02F44" w:rsidRPr="008617F4" w:rsidRDefault="00C02F44" w:rsidP="00C02F44">
      <w:pPr>
        <w:pStyle w:val="NoSpacing"/>
        <w:rPr>
          <w:sz w:val="24"/>
          <w:szCs w:val="24"/>
        </w:rPr>
      </w:pPr>
      <w:r w:rsidRPr="008617F4">
        <w:rPr>
          <w:sz w:val="24"/>
          <w:szCs w:val="24"/>
        </w:rPr>
        <w:t>Then recalling,</w:t>
      </w:r>
    </w:p>
    <w:p w14:paraId="7938D136" w14:textId="77777777" w:rsidR="00C02F44" w:rsidRDefault="00C02F44" w:rsidP="00C02F44">
      <w:pPr>
        <w:pStyle w:val="NoSpacing"/>
      </w:pPr>
    </w:p>
    <w:p w14:paraId="13BF0A5E" w14:textId="77777777" w:rsidR="00C02F44" w:rsidRDefault="00C02F44" w:rsidP="00C02F44">
      <w:pPr>
        <w:pStyle w:val="NoSpacing"/>
      </w:pPr>
      <w:r w:rsidRPr="005248D0">
        <w:rPr>
          <w:position w:val="-28"/>
        </w:rPr>
        <w:object w:dxaOrig="2940" w:dyaOrig="680" w14:anchorId="6FBBF854">
          <v:shape id="_x0000_i1035" type="#_x0000_t75" style="width:149.5pt;height:36.5pt" o:ole="">
            <v:imagedata r:id="rId26" o:title=""/>
          </v:shape>
          <o:OLEObject Type="Embed" ProgID="Equation.DSMT4" ShapeID="_x0000_i1035" DrawAspect="Content" ObjectID="_1761894647" r:id="rId27"/>
        </w:object>
      </w:r>
    </w:p>
    <w:p w14:paraId="22FD7478" w14:textId="77777777" w:rsidR="00C02F44" w:rsidRDefault="00C02F44" w:rsidP="00C02F44">
      <w:pPr>
        <w:pStyle w:val="NoSpacing"/>
      </w:pPr>
    </w:p>
    <w:p w14:paraId="7069DB89" w14:textId="77777777" w:rsidR="00C02F44" w:rsidRPr="00DA0EA2" w:rsidRDefault="00C02F44" w:rsidP="00C02F44">
      <w:pPr>
        <w:pStyle w:val="NoSpacing"/>
        <w:rPr>
          <w:sz w:val="24"/>
          <w:szCs w:val="24"/>
        </w:rPr>
      </w:pPr>
      <w:r w:rsidRPr="00DA0EA2">
        <w:rPr>
          <w:sz w:val="24"/>
          <w:szCs w:val="24"/>
        </w:rPr>
        <w:t>we can translate things to the momentum basis,</w:t>
      </w:r>
    </w:p>
    <w:p w14:paraId="2817FC99" w14:textId="77777777" w:rsidR="00C02F44" w:rsidRDefault="00C02F44" w:rsidP="00C02F44">
      <w:pPr>
        <w:pStyle w:val="NoSpacing"/>
        <w:rPr>
          <w:sz w:val="24"/>
          <w:szCs w:val="24"/>
        </w:rPr>
      </w:pPr>
    </w:p>
    <w:p w14:paraId="3B424DBA" w14:textId="77777777" w:rsidR="00C02F44" w:rsidRDefault="00C02F44" w:rsidP="00C02F44">
      <w:pPr>
        <w:pStyle w:val="NoSpacing"/>
        <w:rPr>
          <w:sz w:val="24"/>
          <w:szCs w:val="24"/>
        </w:rPr>
      </w:pPr>
      <w:r w:rsidRPr="00C74B94">
        <w:rPr>
          <w:position w:val="-136"/>
        </w:rPr>
        <w:object w:dxaOrig="11200" w:dyaOrig="2840" w14:anchorId="19329E89">
          <v:shape id="_x0000_i1036" type="#_x0000_t75" style="width:527.5pt;height:135pt" o:ole="">
            <v:imagedata r:id="rId28" o:title=""/>
          </v:shape>
          <o:OLEObject Type="Embed" ProgID="Equation.DSMT4" ShapeID="_x0000_i1036" DrawAspect="Content" ObjectID="_1761894648" r:id="rId29"/>
        </w:object>
      </w:r>
    </w:p>
    <w:p w14:paraId="79ACB1BB" w14:textId="77777777" w:rsidR="00C02F44" w:rsidRDefault="00C02F44" w:rsidP="00C02F44">
      <w:pPr>
        <w:pStyle w:val="NoSpacing"/>
        <w:rPr>
          <w:sz w:val="24"/>
          <w:szCs w:val="24"/>
        </w:rPr>
      </w:pPr>
    </w:p>
    <w:p w14:paraId="712B58FA" w14:textId="77777777" w:rsidR="00C02F44" w:rsidRDefault="00C02F44" w:rsidP="00C02F44">
      <w:pPr>
        <w:pStyle w:val="NoSpacing"/>
        <w:rPr>
          <w:sz w:val="24"/>
          <w:szCs w:val="24"/>
        </w:rPr>
      </w:pPr>
      <w:r>
        <w:rPr>
          <w:sz w:val="24"/>
          <w:szCs w:val="24"/>
        </w:rPr>
        <w:t>We’d probably neglect the A</w:t>
      </w:r>
      <w:r>
        <w:rPr>
          <w:sz w:val="24"/>
          <w:szCs w:val="24"/>
          <w:vertAlign w:val="superscript"/>
        </w:rPr>
        <w:t>2</w:t>
      </w:r>
      <w:r>
        <w:rPr>
          <w:sz w:val="24"/>
          <w:szCs w:val="24"/>
        </w:rPr>
        <w:t xml:space="preserve"> term, at least if we’re just interested in susceptibilities (cause we only care about going to first order).  So then,</w:t>
      </w:r>
    </w:p>
    <w:p w14:paraId="27016D60" w14:textId="77777777" w:rsidR="00C02F44" w:rsidRDefault="00C02F44" w:rsidP="00C02F44">
      <w:pPr>
        <w:pStyle w:val="NoSpacing"/>
        <w:rPr>
          <w:sz w:val="24"/>
          <w:szCs w:val="24"/>
        </w:rPr>
      </w:pPr>
    </w:p>
    <w:p w14:paraId="7CCDCDC5" w14:textId="77777777" w:rsidR="00C02F44" w:rsidRPr="00C74B94" w:rsidRDefault="00C02F44" w:rsidP="00C02F44">
      <w:pPr>
        <w:pStyle w:val="NoSpacing"/>
        <w:rPr>
          <w:sz w:val="24"/>
          <w:szCs w:val="24"/>
        </w:rPr>
      </w:pPr>
      <w:r w:rsidRPr="00874A12">
        <w:rPr>
          <w:position w:val="-66"/>
        </w:rPr>
        <w:object w:dxaOrig="8419" w:dyaOrig="1440" w14:anchorId="45F8B686">
          <v:shape id="_x0000_i1037" type="#_x0000_t75" style="width:429.5pt;height:71pt;mso-position-vertical:absolute" o:ole="" fillcolor="#cfc">
            <v:imagedata r:id="rId30" o:title=""/>
          </v:shape>
          <o:OLEObject Type="Embed" ProgID="Equation.DSMT4" ShapeID="_x0000_i1037" DrawAspect="Content" ObjectID="_1761894649" r:id="rId31"/>
        </w:object>
      </w:r>
    </w:p>
    <w:p w14:paraId="7E5BECDB" w14:textId="77777777" w:rsidR="00C02F44" w:rsidRDefault="00C02F44" w:rsidP="00C02F44">
      <w:pPr>
        <w:pStyle w:val="NoSpacing"/>
        <w:rPr>
          <w:sz w:val="24"/>
          <w:szCs w:val="24"/>
        </w:rPr>
      </w:pPr>
    </w:p>
    <w:p w14:paraId="279A9C26" w14:textId="77777777" w:rsidR="00C02F44" w:rsidRDefault="00C02F44" w:rsidP="00C02F44">
      <w:pPr>
        <w:pStyle w:val="NoSpacing"/>
        <w:rPr>
          <w:sz w:val="24"/>
          <w:szCs w:val="24"/>
        </w:rPr>
      </w:pPr>
      <w:r>
        <w:rPr>
          <w:sz w:val="24"/>
          <w:szCs w:val="24"/>
        </w:rPr>
        <w:t xml:space="preserve">Now we’re going to specialize to study just the paramagnetic effect, so we’ll drop the diamagnetic term (perhaps we’re implicitly presuming the presence of disorder which would severely dampen the diamagnetic response of free electrons?).  </w:t>
      </w:r>
    </w:p>
    <w:p w14:paraId="71652AC1" w14:textId="77777777" w:rsidR="00C02F44" w:rsidRDefault="00C02F44" w:rsidP="00C02F44">
      <w:pPr>
        <w:pStyle w:val="NoSpacing"/>
        <w:rPr>
          <w:sz w:val="24"/>
          <w:szCs w:val="24"/>
        </w:rPr>
      </w:pPr>
    </w:p>
    <w:p w14:paraId="51261CDB" w14:textId="77777777" w:rsidR="00C02F44" w:rsidRDefault="00C02F44" w:rsidP="00C02F44">
      <w:pPr>
        <w:pStyle w:val="NoSpacing"/>
      </w:pPr>
      <w:r w:rsidRPr="00B26251">
        <w:rPr>
          <w:position w:val="-30"/>
        </w:rPr>
        <w:object w:dxaOrig="8180" w:dyaOrig="680" w14:anchorId="717F1AD4">
          <v:shape id="_x0000_i1038" type="#_x0000_t75" style="width:420.5pt;height:35pt" o:ole="" filled="t" fillcolor="#cfc">
            <v:imagedata r:id="rId32" o:title=""/>
          </v:shape>
          <o:OLEObject Type="Embed" ProgID="Equation.DSMT4" ShapeID="_x0000_i1038" DrawAspect="Content" ObjectID="_1761894650" r:id="rId33"/>
        </w:object>
      </w:r>
    </w:p>
    <w:p w14:paraId="3E2DE961" w14:textId="77777777" w:rsidR="00C02F44" w:rsidRDefault="00C02F44" w:rsidP="00C02F44">
      <w:pPr>
        <w:pStyle w:val="NoSpacing"/>
        <w:rPr>
          <w:sz w:val="24"/>
          <w:szCs w:val="24"/>
        </w:rPr>
      </w:pPr>
    </w:p>
    <w:p w14:paraId="025F16B1" w14:textId="57EAE150" w:rsidR="00C02F44" w:rsidRDefault="00C02F44" w:rsidP="00C02F44">
      <w:pPr>
        <w:pStyle w:val="NoSpacing"/>
        <w:rPr>
          <w:sz w:val="24"/>
          <w:szCs w:val="24"/>
        </w:rPr>
      </w:pPr>
      <w:r>
        <w:rPr>
          <w:sz w:val="24"/>
          <w:szCs w:val="24"/>
        </w:rPr>
        <w:t xml:space="preserve">Now the magnetic field, </w:t>
      </w:r>
      <w:r w:rsidRPr="00B26251">
        <w:rPr>
          <w:b/>
          <w:sz w:val="24"/>
          <w:szCs w:val="24"/>
        </w:rPr>
        <w:t>B</w:t>
      </w:r>
      <w:r>
        <w:rPr>
          <w:sz w:val="24"/>
          <w:szCs w:val="24"/>
        </w:rPr>
        <w:t xml:space="preserve"> = </w:t>
      </w:r>
      <w:r w:rsidRPr="00E44F52">
        <w:rPr>
          <w:b/>
          <w:sz w:val="24"/>
          <w:szCs w:val="24"/>
        </w:rPr>
        <w:t>B</w:t>
      </w:r>
      <w:r>
        <w:rPr>
          <w:sz w:val="24"/>
          <w:szCs w:val="24"/>
          <w:vertAlign w:val="subscript"/>
        </w:rPr>
        <w:t>f</w:t>
      </w:r>
      <w:r>
        <w:rPr>
          <w:sz w:val="24"/>
          <w:szCs w:val="24"/>
        </w:rPr>
        <w:t xml:space="preserve"> + </w:t>
      </w:r>
      <w:r w:rsidRPr="00E44F52">
        <w:rPr>
          <w:b/>
          <w:sz w:val="24"/>
          <w:szCs w:val="24"/>
        </w:rPr>
        <w:t>B</w:t>
      </w:r>
      <w:r>
        <w:rPr>
          <w:sz w:val="24"/>
          <w:szCs w:val="24"/>
          <w:vertAlign w:val="subscript"/>
        </w:rPr>
        <w:t>b</w:t>
      </w:r>
      <w:r>
        <w:rPr>
          <w:sz w:val="24"/>
          <w:szCs w:val="24"/>
        </w:rPr>
        <w:t xml:space="preserve">, is the total field coming from both the external source (f) and the electrons themselves (b).  But if we’re just considering the electrons as the system, then really, it seems, we should put H in terms of the only independent d.o.f., which is </w:t>
      </w:r>
      <w:r w:rsidRPr="008617F4">
        <w:rPr>
          <w:b/>
          <w:sz w:val="24"/>
          <w:szCs w:val="24"/>
        </w:rPr>
        <w:t>B</w:t>
      </w:r>
      <w:r>
        <w:rPr>
          <w:sz w:val="24"/>
          <w:szCs w:val="24"/>
          <w:vertAlign w:val="subscript"/>
        </w:rPr>
        <w:t>f</w:t>
      </w:r>
      <w:r>
        <w:rPr>
          <w:sz w:val="24"/>
          <w:szCs w:val="24"/>
        </w:rPr>
        <w:t xml:space="preserve">.  </w:t>
      </w:r>
      <w:r w:rsidR="00845177">
        <w:rPr>
          <w:sz w:val="24"/>
          <w:szCs w:val="24"/>
        </w:rPr>
        <w:t>That means we need to put B</w:t>
      </w:r>
      <w:r w:rsidR="00845177">
        <w:rPr>
          <w:sz w:val="24"/>
          <w:szCs w:val="24"/>
          <w:vertAlign w:val="subscript"/>
        </w:rPr>
        <w:t>b</w:t>
      </w:r>
      <w:r w:rsidR="00845177">
        <w:rPr>
          <w:sz w:val="24"/>
          <w:szCs w:val="24"/>
        </w:rPr>
        <w:t xml:space="preserve"> in terms of B</w:t>
      </w:r>
      <w:r w:rsidR="00845177">
        <w:rPr>
          <w:sz w:val="24"/>
          <w:szCs w:val="24"/>
          <w:vertAlign w:val="subscript"/>
        </w:rPr>
        <w:t>f</w:t>
      </w:r>
      <w:r w:rsidR="00845177">
        <w:rPr>
          <w:sz w:val="24"/>
          <w:szCs w:val="24"/>
        </w:rPr>
        <w:t xml:space="preserve"> and/or the electronic d.o.f.  And </w:t>
      </w:r>
      <w:r w:rsidR="006C06C4">
        <w:rPr>
          <w:sz w:val="24"/>
          <w:szCs w:val="24"/>
        </w:rPr>
        <w:t xml:space="preserve">to </w:t>
      </w:r>
      <w:r>
        <w:rPr>
          <w:sz w:val="24"/>
          <w:szCs w:val="24"/>
        </w:rPr>
        <w:t>do this right (see Stat Mech/Quantum MFT Paramagnet) I think this would require putting the dipole-dipole interaction between spins in the Hamiltonian H as well, and maybe doing some sort of Mean Field Approximation on H.  But (see Stat Mech/Quantum MFT Paramagnet again) I think we can avoid all that by instead encompassing within our H the free magnetic field.  Then our Hamiltonian for electrons and free field would be:</w:t>
      </w:r>
    </w:p>
    <w:p w14:paraId="14F63FB9" w14:textId="77777777" w:rsidR="00C02F44" w:rsidRDefault="00C02F44" w:rsidP="00C02F44">
      <w:pPr>
        <w:pStyle w:val="NoSpacing"/>
        <w:rPr>
          <w:sz w:val="24"/>
          <w:szCs w:val="24"/>
        </w:rPr>
      </w:pPr>
    </w:p>
    <w:p w14:paraId="45F75142" w14:textId="77777777" w:rsidR="00C02F44" w:rsidRDefault="00C02F44" w:rsidP="00C02F44">
      <w:pPr>
        <w:pStyle w:val="NoSpacing"/>
      </w:pPr>
      <w:r w:rsidRPr="00B26251">
        <w:rPr>
          <w:position w:val="-30"/>
        </w:rPr>
        <w:object w:dxaOrig="10260" w:dyaOrig="720" w14:anchorId="3435234A">
          <v:shape id="_x0000_i1039" type="#_x0000_t75" style="width:513pt;height:36pt" o:ole="">
            <v:imagedata r:id="rId34" o:title=""/>
          </v:shape>
          <o:OLEObject Type="Embed" ProgID="Equation.DSMT4" ShapeID="_x0000_i1039" DrawAspect="Content" ObjectID="_1761894651" r:id="rId35"/>
        </w:object>
      </w:r>
    </w:p>
    <w:p w14:paraId="3BF53289" w14:textId="77777777" w:rsidR="00C02F44" w:rsidRDefault="00C02F44" w:rsidP="00C02F44">
      <w:pPr>
        <w:pStyle w:val="NoSpacing"/>
      </w:pPr>
    </w:p>
    <w:p w14:paraId="48A07847" w14:textId="27DAA6D9" w:rsidR="00C02F44" w:rsidRDefault="00C02F44" w:rsidP="00C02F44">
      <w:pPr>
        <w:pStyle w:val="NoSpacing"/>
        <w:rPr>
          <w:sz w:val="24"/>
          <w:szCs w:val="24"/>
        </w:rPr>
      </w:pPr>
      <w:r w:rsidRPr="00143495">
        <w:rPr>
          <w:sz w:val="24"/>
          <w:szCs w:val="24"/>
        </w:rPr>
        <w:t>And</w:t>
      </w:r>
      <w:r>
        <w:rPr>
          <w:sz w:val="24"/>
          <w:szCs w:val="24"/>
        </w:rPr>
        <w:t xml:space="preserve"> so then </w:t>
      </w:r>
      <w:r w:rsidRPr="000E7131">
        <w:rPr>
          <w:b/>
          <w:sz w:val="24"/>
          <w:szCs w:val="24"/>
        </w:rPr>
        <w:t>B</w:t>
      </w:r>
      <w:r>
        <w:rPr>
          <w:sz w:val="24"/>
          <w:szCs w:val="24"/>
        </w:rPr>
        <w:t xml:space="preserve">(q,t) is a free variable itself.  And a derivative of H w/r to </w:t>
      </w:r>
      <w:r w:rsidRPr="000E7131">
        <w:rPr>
          <w:b/>
          <w:sz w:val="24"/>
          <w:szCs w:val="24"/>
        </w:rPr>
        <w:t>B</w:t>
      </w:r>
      <w:r>
        <w:rPr>
          <w:sz w:val="24"/>
          <w:szCs w:val="24"/>
        </w:rPr>
        <w:t xml:space="preserve"> would give us </w:t>
      </w:r>
      <w:r w:rsidRPr="000E7131">
        <w:rPr>
          <w:b/>
          <w:sz w:val="24"/>
          <w:szCs w:val="24"/>
        </w:rPr>
        <w:t>H</w:t>
      </w:r>
      <w:r>
        <w:rPr>
          <w:sz w:val="24"/>
          <w:szCs w:val="24"/>
        </w:rPr>
        <w:t xml:space="preserve"> = </w:t>
      </w:r>
      <w:r w:rsidRPr="000E7131">
        <w:rPr>
          <w:b/>
          <w:sz w:val="24"/>
          <w:szCs w:val="24"/>
        </w:rPr>
        <w:t>B</w:t>
      </w:r>
      <w:r>
        <w:rPr>
          <w:sz w:val="24"/>
          <w:szCs w:val="24"/>
        </w:rPr>
        <w:t>/</w:t>
      </w:r>
      <w:r>
        <w:rPr>
          <w:rFonts w:ascii="Calibri" w:hAnsi="Calibri" w:cs="Calibri"/>
          <w:sz w:val="24"/>
          <w:szCs w:val="24"/>
        </w:rPr>
        <w:t xml:space="preserve">4π </w:t>
      </w:r>
      <w:r>
        <w:rPr>
          <w:sz w:val="24"/>
          <w:szCs w:val="24"/>
        </w:rPr>
        <w:t xml:space="preserve">– </w:t>
      </w:r>
      <w:r>
        <w:rPr>
          <w:b/>
          <w:sz w:val="24"/>
          <w:szCs w:val="24"/>
        </w:rPr>
        <w:t>m</w:t>
      </w:r>
      <w:r>
        <w:rPr>
          <w:sz w:val="24"/>
          <w:szCs w:val="24"/>
        </w:rPr>
        <w:t xml:space="preserve"> (see EM/Insulator Energy, and </w:t>
      </w:r>
      <w:r w:rsidRPr="006D3F6B">
        <w:rPr>
          <w:b/>
          <w:sz w:val="24"/>
          <w:szCs w:val="24"/>
        </w:rPr>
        <w:t>m</w:t>
      </w:r>
      <w:r>
        <w:rPr>
          <w:sz w:val="24"/>
          <w:szCs w:val="24"/>
        </w:rPr>
        <w:t xml:space="preserve"> is magnetization density, also written as </w:t>
      </w:r>
      <w:r w:rsidRPr="006D3F6B">
        <w:rPr>
          <w:b/>
          <w:sz w:val="24"/>
          <w:szCs w:val="24"/>
        </w:rPr>
        <w:t>M</w:t>
      </w:r>
      <w:r>
        <w:rPr>
          <w:sz w:val="24"/>
          <w:szCs w:val="24"/>
        </w:rPr>
        <w:t xml:space="preserve"> often times)</w:t>
      </w:r>
      <w:r w:rsidR="00845177">
        <w:rPr>
          <w:sz w:val="24"/>
          <w:szCs w:val="24"/>
        </w:rPr>
        <w:t>.</w:t>
      </w:r>
      <w:r>
        <w:rPr>
          <w:sz w:val="24"/>
          <w:szCs w:val="24"/>
        </w:rPr>
        <w:t xml:space="preserve"> </w:t>
      </w:r>
      <w:r w:rsidR="00845177">
        <w:rPr>
          <w:sz w:val="24"/>
          <w:szCs w:val="24"/>
        </w:rPr>
        <w:t xml:space="preserve"> Working out this derivative, we then see that </w:t>
      </w:r>
      <w:r>
        <w:rPr>
          <w:b/>
          <w:sz w:val="24"/>
          <w:szCs w:val="24"/>
        </w:rPr>
        <w:t>m</w:t>
      </w:r>
      <w:r>
        <w:rPr>
          <w:sz w:val="24"/>
          <w:szCs w:val="24"/>
        </w:rPr>
        <w:t xml:space="preserve"> is just the coefficient of the linear </w:t>
      </w:r>
      <w:r w:rsidRPr="006D3F6B">
        <w:rPr>
          <w:b/>
          <w:sz w:val="24"/>
          <w:szCs w:val="24"/>
        </w:rPr>
        <w:t>B</w:t>
      </w:r>
      <w:r>
        <w:rPr>
          <w:sz w:val="24"/>
          <w:szCs w:val="24"/>
        </w:rPr>
        <w:t xml:space="preserve"> term, </w:t>
      </w:r>
      <w:r w:rsidR="00845177">
        <w:rPr>
          <w:sz w:val="24"/>
          <w:szCs w:val="24"/>
        </w:rPr>
        <w:t xml:space="preserve">i.e. the spin term.  And </w:t>
      </w:r>
      <w:r>
        <w:rPr>
          <w:sz w:val="24"/>
          <w:szCs w:val="24"/>
        </w:rPr>
        <w:t>in position space</w:t>
      </w:r>
      <w:r w:rsidR="00845177">
        <w:rPr>
          <w:sz w:val="24"/>
          <w:szCs w:val="24"/>
        </w:rPr>
        <w:t xml:space="preserve"> this</w:t>
      </w:r>
      <w:r>
        <w:rPr>
          <w:sz w:val="24"/>
          <w:szCs w:val="24"/>
        </w:rPr>
        <w:t xml:space="preserve"> is:</w:t>
      </w:r>
    </w:p>
    <w:p w14:paraId="4F3312B6" w14:textId="77777777" w:rsidR="00C02F44" w:rsidRDefault="00C02F44" w:rsidP="00C02F44">
      <w:pPr>
        <w:pStyle w:val="NoSpacing"/>
        <w:rPr>
          <w:sz w:val="24"/>
          <w:szCs w:val="24"/>
        </w:rPr>
      </w:pPr>
    </w:p>
    <w:p w14:paraId="75619E90" w14:textId="5139FC35" w:rsidR="00C02F44" w:rsidRDefault="00500FA3" w:rsidP="00C02F44">
      <w:pPr>
        <w:pStyle w:val="NoSpacing"/>
        <w:rPr>
          <w:sz w:val="24"/>
          <w:szCs w:val="24"/>
        </w:rPr>
      </w:pPr>
      <w:r w:rsidRPr="00BF0ED6">
        <w:rPr>
          <w:position w:val="-28"/>
          <w:sz w:val="24"/>
          <w:szCs w:val="24"/>
        </w:rPr>
        <w:object w:dxaOrig="3120" w:dyaOrig="540" w14:anchorId="7597937D">
          <v:shape id="_x0000_i1040" type="#_x0000_t75" style="width:148.5pt;height:28.5pt" o:ole="" filled="t" fillcolor="#cfc">
            <v:imagedata r:id="rId36" o:title=""/>
          </v:shape>
          <o:OLEObject Type="Embed" ProgID="Equation.DSMT4" ShapeID="_x0000_i1040" DrawAspect="Content" ObjectID="_1761894652" r:id="rId37"/>
        </w:object>
      </w:r>
    </w:p>
    <w:p w14:paraId="3D0D0155" w14:textId="77777777" w:rsidR="00C02F44" w:rsidRDefault="00C02F44" w:rsidP="00C02F44">
      <w:pPr>
        <w:pStyle w:val="NoSpacing"/>
        <w:rPr>
          <w:sz w:val="24"/>
          <w:szCs w:val="24"/>
        </w:rPr>
      </w:pPr>
    </w:p>
    <w:p w14:paraId="22C014F8" w14:textId="7AE0BCC3" w:rsidR="00500FA3" w:rsidRDefault="00500FA3" w:rsidP="00C02F44">
      <w:pPr>
        <w:pStyle w:val="NoSpacing"/>
        <w:rPr>
          <w:sz w:val="24"/>
          <w:szCs w:val="24"/>
        </w:rPr>
      </w:pPr>
      <w:r>
        <w:rPr>
          <w:sz w:val="24"/>
          <w:szCs w:val="24"/>
        </w:rPr>
        <w:t>FWIW, a Fourier transform gives:</w:t>
      </w:r>
    </w:p>
    <w:p w14:paraId="67CD00B9" w14:textId="77777777" w:rsidR="00500FA3" w:rsidRDefault="00500FA3" w:rsidP="00C02F44">
      <w:pPr>
        <w:pStyle w:val="NoSpacing"/>
        <w:rPr>
          <w:sz w:val="24"/>
          <w:szCs w:val="24"/>
        </w:rPr>
      </w:pPr>
    </w:p>
    <w:p w14:paraId="5A814347" w14:textId="7AAEC460" w:rsidR="00500FA3" w:rsidRDefault="00500FA3" w:rsidP="00C02F44">
      <w:pPr>
        <w:pStyle w:val="NoSpacing"/>
        <w:rPr>
          <w:sz w:val="24"/>
          <w:szCs w:val="24"/>
        </w:rPr>
      </w:pPr>
      <w:r w:rsidRPr="007952F4">
        <w:rPr>
          <w:position w:val="-28"/>
        </w:rPr>
        <w:object w:dxaOrig="4360" w:dyaOrig="660" w14:anchorId="643C5C53">
          <v:shape id="_x0000_i1041" type="#_x0000_t75" style="width:218pt;height:33pt" o:ole="">
            <v:imagedata r:id="rId38" o:title=""/>
          </v:shape>
          <o:OLEObject Type="Embed" ProgID="Equation.DSMT4" ShapeID="_x0000_i1041" DrawAspect="Content" ObjectID="_1761894653" r:id="rId39"/>
        </w:object>
      </w:r>
    </w:p>
    <w:p w14:paraId="689E78D1" w14:textId="77777777" w:rsidR="00500FA3" w:rsidRDefault="00500FA3" w:rsidP="00C02F44">
      <w:pPr>
        <w:pStyle w:val="NoSpacing"/>
        <w:rPr>
          <w:sz w:val="24"/>
          <w:szCs w:val="24"/>
        </w:rPr>
      </w:pPr>
    </w:p>
    <w:p w14:paraId="781E6FB1" w14:textId="7DC662F9" w:rsidR="00500FA3" w:rsidRDefault="00500FA3" w:rsidP="00C02F44">
      <w:pPr>
        <w:pStyle w:val="NoSpacing"/>
        <w:rPr>
          <w:sz w:val="24"/>
          <w:szCs w:val="24"/>
        </w:rPr>
      </w:pPr>
      <w:r>
        <w:rPr>
          <w:sz w:val="24"/>
          <w:szCs w:val="24"/>
        </w:rPr>
        <w:t>I’ll actually write this in terms of the spin number density, which was introduced in the Collective Oscillations file (spin)</w:t>
      </w:r>
      <w:r w:rsidR="00DC1D43">
        <w:rPr>
          <w:sz w:val="24"/>
          <w:szCs w:val="24"/>
        </w:rPr>
        <w:t xml:space="preserve"> </w:t>
      </w:r>
    </w:p>
    <w:p w14:paraId="24CC459E" w14:textId="77777777" w:rsidR="00500FA3" w:rsidRDefault="00500FA3" w:rsidP="00C02F44">
      <w:pPr>
        <w:pStyle w:val="NoSpacing"/>
        <w:rPr>
          <w:sz w:val="24"/>
          <w:szCs w:val="24"/>
        </w:rPr>
      </w:pPr>
    </w:p>
    <w:p w14:paraId="0E84F2B1" w14:textId="31A6F726" w:rsidR="00500FA3" w:rsidRDefault="00500FA3" w:rsidP="00C02F44">
      <w:pPr>
        <w:pStyle w:val="NoSpacing"/>
        <w:rPr>
          <w:sz w:val="24"/>
          <w:szCs w:val="24"/>
        </w:rPr>
      </w:pPr>
      <w:r w:rsidRPr="007952F4">
        <w:rPr>
          <w:position w:val="-28"/>
        </w:rPr>
        <w:object w:dxaOrig="6259" w:dyaOrig="540" w14:anchorId="07C14B5C">
          <v:shape id="_x0000_i1042" type="#_x0000_t75" style="width:313pt;height:27pt" o:ole="" filled="t" fillcolor="#cfc">
            <v:imagedata r:id="rId40" o:title=""/>
          </v:shape>
          <o:OLEObject Type="Embed" ProgID="Equation.DSMT4" ShapeID="_x0000_i1042" DrawAspect="Content" ObjectID="_1761894654" r:id="rId41"/>
        </w:object>
      </w:r>
    </w:p>
    <w:p w14:paraId="6C88FA71" w14:textId="77777777" w:rsidR="00500FA3" w:rsidRDefault="00500FA3" w:rsidP="00C02F44">
      <w:pPr>
        <w:pStyle w:val="NoSpacing"/>
        <w:rPr>
          <w:sz w:val="24"/>
          <w:szCs w:val="24"/>
        </w:rPr>
      </w:pPr>
    </w:p>
    <w:p w14:paraId="36F90002" w14:textId="1035DF5B" w:rsidR="00C02F44" w:rsidRDefault="00C02F44" w:rsidP="00C02F44">
      <w:pPr>
        <w:pStyle w:val="NoSpacing"/>
        <w:rPr>
          <w:sz w:val="24"/>
          <w:szCs w:val="24"/>
        </w:rPr>
      </w:pPr>
      <w:r>
        <w:rPr>
          <w:sz w:val="24"/>
          <w:szCs w:val="24"/>
        </w:rPr>
        <w:t xml:space="preserve">And in terms of this, the perturbation may be written (implicit summation over </w:t>
      </w:r>
      <w:r>
        <w:rPr>
          <w:rFonts w:ascii="Calibri" w:hAnsi="Calibri" w:cs="Calibri"/>
          <w:sz w:val="24"/>
          <w:szCs w:val="24"/>
        </w:rPr>
        <w:t>σσ</w:t>
      </w:r>
      <w:r>
        <w:rPr>
          <w:sz w:val="24"/>
          <w:szCs w:val="24"/>
        </w:rPr>
        <w:t>´)</w:t>
      </w:r>
      <w:r w:rsidR="00DC1D43">
        <w:rPr>
          <w:sz w:val="24"/>
          <w:szCs w:val="24"/>
        </w:rPr>
        <w:t xml:space="preserve"> </w:t>
      </w:r>
    </w:p>
    <w:p w14:paraId="0982164F" w14:textId="77777777" w:rsidR="00C02F44" w:rsidRDefault="00C02F44" w:rsidP="00C02F44">
      <w:pPr>
        <w:pStyle w:val="NoSpacing"/>
        <w:rPr>
          <w:sz w:val="24"/>
          <w:szCs w:val="24"/>
        </w:rPr>
      </w:pPr>
    </w:p>
    <w:p w14:paraId="5E9E9669" w14:textId="27AB1567" w:rsidR="00C02F44" w:rsidRDefault="00500FA3" w:rsidP="00C02F44">
      <w:pPr>
        <w:pStyle w:val="NoSpacing"/>
        <w:rPr>
          <w:sz w:val="24"/>
          <w:szCs w:val="24"/>
        </w:rPr>
      </w:pPr>
      <w:r w:rsidRPr="00046168">
        <w:rPr>
          <w:position w:val="-88"/>
        </w:rPr>
        <w:object w:dxaOrig="3860" w:dyaOrig="1640" w14:anchorId="530218CC">
          <v:shape id="_x0000_i1043" type="#_x0000_t75" style="width:192pt;height:84pt" o:ole="">
            <v:imagedata r:id="rId42" o:title=""/>
          </v:shape>
          <o:OLEObject Type="Embed" ProgID="Equation.DSMT4" ShapeID="_x0000_i1043" DrawAspect="Content" ObjectID="_1761894655" r:id="rId43"/>
        </w:object>
      </w:r>
    </w:p>
    <w:p w14:paraId="04FD1F74" w14:textId="77777777" w:rsidR="00C02F44" w:rsidRDefault="00C02F44" w:rsidP="00C02F44">
      <w:pPr>
        <w:pStyle w:val="NoSpacing"/>
        <w:rPr>
          <w:sz w:val="24"/>
          <w:szCs w:val="24"/>
        </w:rPr>
      </w:pPr>
    </w:p>
    <w:p w14:paraId="7DAC486E" w14:textId="5A1E4B47" w:rsidR="00C02F44" w:rsidRDefault="00C02F44" w:rsidP="00C02F44">
      <w:pPr>
        <w:pStyle w:val="NoSpacing"/>
        <w:rPr>
          <w:sz w:val="24"/>
          <w:szCs w:val="24"/>
        </w:rPr>
      </w:pPr>
      <w:r>
        <w:rPr>
          <w:sz w:val="24"/>
          <w:szCs w:val="24"/>
        </w:rPr>
        <w:t xml:space="preserve">We’d like to calculate </w:t>
      </w:r>
      <w:r w:rsidR="00500FA3">
        <w:rPr>
          <w:sz w:val="24"/>
          <w:szCs w:val="24"/>
        </w:rPr>
        <w:t>the spin number density’s</w:t>
      </w:r>
      <w:r>
        <w:rPr>
          <w:sz w:val="24"/>
          <w:szCs w:val="24"/>
        </w:rPr>
        <w:t xml:space="preserve"> expectation as a function of time.  To do this we must take the trace of it with the nonequilibrium distribution function.  We’ll basically rederive Kubo’s formula from the Stat Mech folder.</w:t>
      </w:r>
    </w:p>
    <w:p w14:paraId="55639301" w14:textId="77777777" w:rsidR="00C02F44" w:rsidRPr="00232F05" w:rsidRDefault="00C02F44" w:rsidP="00C02F44">
      <w:pPr>
        <w:autoSpaceDE w:val="0"/>
        <w:autoSpaceDN w:val="0"/>
        <w:adjustRightInd w:val="0"/>
        <w:rPr>
          <w:rFonts w:ascii="Calibri" w:hAnsi="Calibri" w:cs="Calibri"/>
        </w:rPr>
      </w:pPr>
    </w:p>
    <w:p w14:paraId="680B6EB1" w14:textId="1FF328B2" w:rsidR="00C02F44" w:rsidRPr="00232F05" w:rsidRDefault="00500FA3" w:rsidP="00C02F44">
      <w:pPr>
        <w:autoSpaceDE w:val="0"/>
        <w:autoSpaceDN w:val="0"/>
        <w:adjustRightInd w:val="0"/>
        <w:rPr>
          <w:rFonts w:ascii="MS Sans Serif" w:hAnsi="MS Sans Serif" w:cs="MS Sans Serif"/>
          <w:sz w:val="20"/>
          <w:szCs w:val="20"/>
        </w:rPr>
      </w:pPr>
      <w:r w:rsidRPr="00232F05">
        <w:rPr>
          <w:rFonts w:ascii="MS Sans Serif" w:hAnsi="MS Sans Serif" w:cs="MS Sans Serif"/>
          <w:position w:val="-102"/>
          <w:sz w:val="20"/>
          <w:szCs w:val="20"/>
        </w:rPr>
        <w:object w:dxaOrig="7100" w:dyaOrig="2160" w14:anchorId="127E23A7">
          <v:shape id="_x0000_i1044" type="#_x0000_t75" style="width:353pt;height:108.5pt" o:ole="">
            <v:imagedata r:id="rId44" o:title=""/>
          </v:shape>
          <o:OLEObject Type="Embed" ProgID="Equation.DSMT4" ShapeID="_x0000_i1044" DrawAspect="Content" ObjectID="_1761894656" r:id="rId45"/>
        </w:object>
      </w:r>
    </w:p>
    <w:p w14:paraId="19A27AA2" w14:textId="77777777" w:rsidR="00C02F44" w:rsidRPr="00232F05" w:rsidRDefault="00C02F44" w:rsidP="00C02F44">
      <w:pPr>
        <w:autoSpaceDE w:val="0"/>
        <w:autoSpaceDN w:val="0"/>
        <w:adjustRightInd w:val="0"/>
        <w:rPr>
          <w:rFonts w:ascii="MS Sans Serif" w:hAnsi="MS Sans Serif" w:cs="MS Sans Serif"/>
          <w:sz w:val="20"/>
          <w:szCs w:val="20"/>
        </w:rPr>
      </w:pPr>
    </w:p>
    <w:p w14:paraId="094755C6" w14:textId="77777777" w:rsidR="00C02F44" w:rsidRPr="00232F05" w:rsidRDefault="00C02F44" w:rsidP="00C02F44">
      <w:pPr>
        <w:autoSpaceDE w:val="0"/>
        <w:autoSpaceDN w:val="0"/>
        <w:adjustRightInd w:val="0"/>
        <w:rPr>
          <w:rFonts w:ascii="Calibri" w:hAnsi="Calibri" w:cs="Calibri"/>
        </w:rPr>
      </w:pPr>
      <w:r w:rsidRPr="00232F05">
        <w:rPr>
          <w:rFonts w:ascii="Calibri" w:hAnsi="Calibri" w:cs="Calibri"/>
        </w:rPr>
        <w:t xml:space="preserve">(where </w:t>
      </w:r>
      <w:r>
        <w:rPr>
          <w:rFonts w:ascii="Calibri" w:hAnsi="Calibri" w:cs="Calibri"/>
        </w:rPr>
        <w:t>U</w:t>
      </w:r>
      <w:r>
        <w:rPr>
          <w:rFonts w:ascii="Calibri" w:hAnsi="Calibri" w:cs="Calibri"/>
          <w:vertAlign w:val="subscript"/>
        </w:rPr>
        <w:t>eq</w:t>
      </w:r>
      <w:r>
        <w:rPr>
          <w:rFonts w:ascii="Calibri" w:hAnsi="Calibri" w:cs="Calibri"/>
        </w:rPr>
        <w:t xml:space="preserve"> is the time-development operator according to H</w:t>
      </w:r>
      <w:r>
        <w:rPr>
          <w:rFonts w:ascii="Calibri" w:hAnsi="Calibri" w:cs="Calibri"/>
          <w:vertAlign w:val="subscript"/>
        </w:rPr>
        <w:t>eq</w:t>
      </w:r>
      <w:r>
        <w:rPr>
          <w:rFonts w:ascii="Calibri" w:hAnsi="Calibri" w:cs="Calibri"/>
        </w:rPr>
        <w:t xml:space="preserve"> which is the H w/o V</w:t>
      </w:r>
      <w:r>
        <w:rPr>
          <w:rFonts w:ascii="Calibri" w:hAnsi="Calibri" w:cs="Calibri"/>
          <w:vertAlign w:val="subscript"/>
        </w:rPr>
        <w:t>B</w:t>
      </w:r>
      <w:r>
        <w:rPr>
          <w:rFonts w:ascii="Calibri" w:hAnsi="Calibri" w:cs="Calibri"/>
        </w:rPr>
        <w:t xml:space="preserve">, and by </w:t>
      </w:r>
      <w:r w:rsidRPr="00232F05">
        <w:rPr>
          <w:rFonts w:ascii="Calibri" w:hAnsi="Calibri" w:cs="Calibri"/>
        </w:rPr>
        <w:t xml:space="preserve"> V</w:t>
      </w:r>
      <w:r>
        <w:rPr>
          <w:rFonts w:ascii="Calibri" w:hAnsi="Calibri" w:cs="Calibri"/>
          <w:vertAlign w:val="subscript"/>
        </w:rPr>
        <w:t>B</w:t>
      </w:r>
      <w:r w:rsidRPr="00232F05">
        <w:rPr>
          <w:rFonts w:ascii="Calibri" w:hAnsi="Calibri" w:cs="Calibri"/>
          <w:vertAlign w:val="subscript"/>
        </w:rPr>
        <w:t>(H</w:t>
      </w:r>
      <w:r>
        <w:rPr>
          <w:rFonts w:ascii="Calibri" w:hAnsi="Calibri" w:cs="Calibri"/>
          <w:vertAlign w:val="subscript"/>
        </w:rPr>
        <w:t>eq</w:t>
      </w:r>
      <w:r w:rsidRPr="00232F05">
        <w:rPr>
          <w:rFonts w:ascii="Calibri" w:hAnsi="Calibri" w:cs="Calibri"/>
          <w:vertAlign w:val="subscript"/>
        </w:rPr>
        <w:t>)</w:t>
      </w:r>
      <w:r w:rsidRPr="00232F05">
        <w:rPr>
          <w:rFonts w:ascii="Calibri" w:hAnsi="Calibri" w:cs="Calibri"/>
        </w:rPr>
        <w:t>(t) = U</w:t>
      </w:r>
      <w:r>
        <w:rPr>
          <w:rFonts w:ascii="Calibri" w:hAnsi="Calibri" w:cs="Calibri"/>
          <w:vertAlign w:val="subscript"/>
        </w:rPr>
        <w:t>eq</w:t>
      </w:r>
      <w:r w:rsidRPr="00232F05">
        <w:rPr>
          <w:rFonts w:ascii="Calibri" w:hAnsi="Calibri" w:cs="Calibri"/>
          <w:vertAlign w:val="superscript"/>
        </w:rPr>
        <w:t>†</w:t>
      </w:r>
      <w:r w:rsidRPr="00232F05">
        <w:rPr>
          <w:rFonts w:ascii="Calibri" w:hAnsi="Calibri" w:cs="Calibri"/>
        </w:rPr>
        <w:t>V</w:t>
      </w:r>
      <w:r>
        <w:rPr>
          <w:rFonts w:ascii="Calibri" w:hAnsi="Calibri" w:cs="Calibri"/>
          <w:vertAlign w:val="subscript"/>
        </w:rPr>
        <w:t>B</w:t>
      </w:r>
      <w:r w:rsidRPr="00232F05">
        <w:rPr>
          <w:rFonts w:ascii="Calibri" w:hAnsi="Calibri" w:cs="Calibri"/>
        </w:rPr>
        <w:t>(t)U</w:t>
      </w:r>
      <w:r>
        <w:rPr>
          <w:rFonts w:ascii="Calibri" w:hAnsi="Calibri" w:cs="Calibri"/>
          <w:vertAlign w:val="subscript"/>
        </w:rPr>
        <w:t>eq</w:t>
      </w:r>
      <w:r w:rsidRPr="00232F05">
        <w:rPr>
          <w:rFonts w:ascii="Calibri" w:hAnsi="Calibri" w:cs="Calibri"/>
        </w:rPr>
        <w:t xml:space="preserve"> I mean the operator in the interaction picture).  Continuing,</w:t>
      </w:r>
    </w:p>
    <w:p w14:paraId="10B233E5" w14:textId="77777777" w:rsidR="00C02F44" w:rsidRPr="00232F05" w:rsidRDefault="00C02F44" w:rsidP="00C02F44">
      <w:pPr>
        <w:autoSpaceDE w:val="0"/>
        <w:autoSpaceDN w:val="0"/>
        <w:adjustRightInd w:val="0"/>
        <w:rPr>
          <w:rFonts w:ascii="MS Sans Serif" w:hAnsi="MS Sans Serif" w:cs="MS Sans Serif"/>
          <w:sz w:val="20"/>
          <w:szCs w:val="20"/>
        </w:rPr>
      </w:pPr>
    </w:p>
    <w:p w14:paraId="1F7D9D0E" w14:textId="4CD57C57" w:rsidR="00C02F44" w:rsidRPr="00232F05" w:rsidRDefault="00500FA3" w:rsidP="00C02F44">
      <w:pPr>
        <w:autoSpaceDE w:val="0"/>
        <w:autoSpaceDN w:val="0"/>
        <w:adjustRightInd w:val="0"/>
        <w:rPr>
          <w:rFonts w:ascii="MS Sans Serif" w:hAnsi="MS Sans Serif" w:cs="MS Sans Serif"/>
          <w:sz w:val="20"/>
          <w:szCs w:val="20"/>
        </w:rPr>
      </w:pPr>
      <w:r w:rsidRPr="00232F05">
        <w:rPr>
          <w:rFonts w:ascii="MS Sans Serif" w:hAnsi="MS Sans Serif" w:cs="MS Sans Serif"/>
          <w:position w:val="-118"/>
          <w:sz w:val="20"/>
          <w:szCs w:val="20"/>
        </w:rPr>
        <w:object w:dxaOrig="6840" w:dyaOrig="2600" w14:anchorId="0C2A7378">
          <v:shape id="_x0000_i1045" type="#_x0000_t75" style="width:340.5pt;height:131.5pt" o:ole="">
            <v:imagedata r:id="rId46" o:title=""/>
          </v:shape>
          <o:OLEObject Type="Embed" ProgID="Equation.DSMT4" ShapeID="_x0000_i1045" DrawAspect="Content" ObjectID="_1761894657" r:id="rId47"/>
        </w:object>
      </w:r>
    </w:p>
    <w:p w14:paraId="30FED2CA" w14:textId="77777777" w:rsidR="00C02F44" w:rsidRPr="00232F05" w:rsidRDefault="00C02F44" w:rsidP="00C02F44">
      <w:pPr>
        <w:autoSpaceDE w:val="0"/>
        <w:autoSpaceDN w:val="0"/>
        <w:adjustRightInd w:val="0"/>
        <w:rPr>
          <w:rFonts w:ascii="Calibri" w:hAnsi="Calibri" w:cs="Calibri"/>
          <w:sz w:val="20"/>
          <w:szCs w:val="20"/>
        </w:rPr>
      </w:pPr>
    </w:p>
    <w:p w14:paraId="3AE96BC5" w14:textId="77777777" w:rsidR="00C02F44" w:rsidRPr="00232F05" w:rsidRDefault="00C02F44" w:rsidP="00C02F44">
      <w:pPr>
        <w:autoSpaceDE w:val="0"/>
        <w:autoSpaceDN w:val="0"/>
        <w:adjustRightInd w:val="0"/>
        <w:rPr>
          <w:rFonts w:ascii="Calibri" w:hAnsi="Calibri" w:cs="Calibri"/>
        </w:rPr>
      </w:pPr>
      <w:r w:rsidRPr="00232F05">
        <w:rPr>
          <w:rFonts w:ascii="Calibri" w:hAnsi="Calibri" w:cs="Calibri"/>
          <w:color w:val="000000"/>
        </w:rPr>
        <w:t>The exponential infinitesimal convergence factor in f</w:t>
      </w:r>
      <w:r w:rsidRPr="00232F05">
        <w:rPr>
          <w:rFonts w:ascii="Calibri" w:hAnsi="Calibri" w:cs="Calibri"/>
          <w:color w:val="000000"/>
          <w:vertAlign w:val="subscript"/>
        </w:rPr>
        <w:t>1</w:t>
      </w:r>
      <w:r w:rsidRPr="00232F05">
        <w:rPr>
          <w:rFonts w:ascii="Calibri" w:hAnsi="Calibri" w:cs="Calibri"/>
          <w:color w:val="000000"/>
        </w:rPr>
        <w:t xml:space="preserve">, designed to prevent recurrences, limits the applicability of our results to the thermodynamic limit, because only here would energy spacings be infinitesimally small.  </w:t>
      </w:r>
      <w:r w:rsidRPr="00232F05">
        <w:rPr>
          <w:rFonts w:ascii="Calibri" w:hAnsi="Calibri" w:cs="Calibri"/>
        </w:rPr>
        <w:t>Now we’ll plug in our expression for V</w:t>
      </w:r>
      <w:r>
        <w:rPr>
          <w:rFonts w:ascii="Calibri" w:hAnsi="Calibri" w:cs="Calibri"/>
          <w:vertAlign w:val="subscript"/>
        </w:rPr>
        <w:t>B</w:t>
      </w:r>
      <w:r w:rsidRPr="00232F05">
        <w:rPr>
          <w:rFonts w:ascii="Calibri" w:hAnsi="Calibri" w:cs="Calibri"/>
          <w:vertAlign w:val="subscript"/>
        </w:rPr>
        <w:t>(H</w:t>
      </w:r>
      <w:r>
        <w:rPr>
          <w:rFonts w:ascii="Calibri" w:hAnsi="Calibri" w:cs="Calibri"/>
          <w:vertAlign w:val="subscript"/>
        </w:rPr>
        <w:t>eq</w:t>
      </w:r>
      <w:r w:rsidRPr="00232F05">
        <w:rPr>
          <w:rFonts w:ascii="Calibri" w:hAnsi="Calibri" w:cs="Calibri"/>
          <w:vertAlign w:val="subscript"/>
        </w:rPr>
        <w:t>)</w:t>
      </w:r>
      <w:r w:rsidRPr="00232F05">
        <w:rPr>
          <w:rFonts w:ascii="Calibri" w:hAnsi="Calibri" w:cs="Calibri"/>
        </w:rPr>
        <w:t>(t)…in position space, cause</w:t>
      </w:r>
      <w:r>
        <w:rPr>
          <w:rFonts w:ascii="Calibri" w:hAnsi="Calibri" w:cs="Calibri"/>
        </w:rPr>
        <w:t>…</w:t>
      </w:r>
    </w:p>
    <w:p w14:paraId="27D83CFC" w14:textId="77777777" w:rsidR="00C02F44" w:rsidRPr="00232F05" w:rsidRDefault="00C02F44" w:rsidP="00C02F44">
      <w:pPr>
        <w:autoSpaceDE w:val="0"/>
        <w:autoSpaceDN w:val="0"/>
        <w:adjustRightInd w:val="0"/>
        <w:rPr>
          <w:rFonts w:ascii="MS Sans Serif" w:hAnsi="MS Sans Serif" w:cs="MS Sans Serif"/>
          <w:sz w:val="20"/>
          <w:szCs w:val="20"/>
        </w:rPr>
      </w:pPr>
    </w:p>
    <w:p w14:paraId="2DA84FE9" w14:textId="578B0401" w:rsidR="00C02F44" w:rsidRPr="00232F05" w:rsidRDefault="00500FA3" w:rsidP="00C02F44">
      <w:pPr>
        <w:autoSpaceDE w:val="0"/>
        <w:autoSpaceDN w:val="0"/>
        <w:adjustRightInd w:val="0"/>
        <w:rPr>
          <w:rFonts w:ascii="MS Sans Serif" w:hAnsi="MS Sans Serif" w:cs="MS Sans Serif"/>
          <w:sz w:val="20"/>
          <w:szCs w:val="20"/>
        </w:rPr>
      </w:pPr>
      <w:r w:rsidRPr="00500FA3">
        <w:rPr>
          <w:rFonts w:ascii="MS Sans Serif" w:hAnsi="MS Sans Serif" w:cs="MS Sans Serif"/>
          <w:position w:val="-152"/>
          <w:sz w:val="20"/>
          <w:szCs w:val="20"/>
        </w:rPr>
        <w:object w:dxaOrig="8580" w:dyaOrig="3159" w14:anchorId="539C861A">
          <v:shape id="_x0000_i1046" type="#_x0000_t75" style="width:431.5pt;height:160.5pt" o:ole="">
            <v:imagedata r:id="rId48" o:title=""/>
          </v:shape>
          <o:OLEObject Type="Embed" ProgID="Equation.DSMT4" ShapeID="_x0000_i1046" DrawAspect="Content" ObjectID="_1761894658" r:id="rId49"/>
        </w:object>
      </w:r>
    </w:p>
    <w:p w14:paraId="2D0E789C" w14:textId="77777777" w:rsidR="00C02F44" w:rsidRPr="00232F05" w:rsidRDefault="00C02F44" w:rsidP="00C02F44">
      <w:pPr>
        <w:autoSpaceDE w:val="0"/>
        <w:autoSpaceDN w:val="0"/>
        <w:adjustRightInd w:val="0"/>
        <w:rPr>
          <w:rFonts w:ascii="Calibri" w:hAnsi="Calibri" w:cs="Calibri"/>
        </w:rPr>
      </w:pPr>
    </w:p>
    <w:p w14:paraId="1F35BFC8" w14:textId="77777777" w:rsidR="00C02F44" w:rsidRPr="00232F05" w:rsidRDefault="00C02F44" w:rsidP="00C02F44">
      <w:pPr>
        <w:autoSpaceDE w:val="0"/>
        <w:autoSpaceDN w:val="0"/>
        <w:adjustRightInd w:val="0"/>
        <w:rPr>
          <w:rFonts w:ascii="Calibri" w:hAnsi="Calibri" w:cs="Calibri"/>
        </w:rPr>
      </w:pPr>
      <w:r w:rsidRPr="00232F05">
        <w:rPr>
          <w:rFonts w:ascii="Calibri" w:hAnsi="Calibri" w:cs="Calibri"/>
        </w:rPr>
        <w:t>Of course we can recognize a GF here – the (</w:t>
      </w:r>
      <w:r>
        <w:rPr>
          <w:rFonts w:ascii="Calibri" w:hAnsi="Calibri" w:cs="Calibri"/>
        </w:rPr>
        <w:t>magnetization</w:t>
      </w:r>
      <w:r w:rsidRPr="00232F05">
        <w:rPr>
          <w:rFonts w:ascii="Calibri" w:hAnsi="Calibri" w:cs="Calibri"/>
        </w:rPr>
        <w:t>) density, (</w:t>
      </w:r>
      <w:r>
        <w:rPr>
          <w:rFonts w:ascii="Calibri" w:hAnsi="Calibri" w:cs="Calibri"/>
        </w:rPr>
        <w:t>magnetization</w:t>
      </w:r>
      <w:r w:rsidRPr="00232F05">
        <w:rPr>
          <w:rFonts w:ascii="Calibri" w:hAnsi="Calibri" w:cs="Calibri"/>
        </w:rPr>
        <w:t xml:space="preserve">) density correlation function.   </w:t>
      </w:r>
      <w:r>
        <w:rPr>
          <w:rFonts w:ascii="Calibri" w:hAnsi="Calibri" w:cs="Calibri"/>
        </w:rPr>
        <w:t>And so we can say, isolating the steady state response by taking t</w:t>
      </w:r>
      <w:r>
        <w:rPr>
          <w:rFonts w:ascii="Calibri" w:hAnsi="Calibri" w:cs="Calibri"/>
          <w:vertAlign w:val="subscript"/>
        </w:rPr>
        <w:t>0</w:t>
      </w:r>
      <w:r>
        <w:rPr>
          <w:rFonts w:ascii="Calibri" w:hAnsi="Calibri" w:cs="Calibri"/>
        </w:rPr>
        <w:t xml:space="preserve"> → ∞:</w:t>
      </w:r>
    </w:p>
    <w:p w14:paraId="6C0B1D97" w14:textId="77777777" w:rsidR="00C02F44" w:rsidRPr="00232F05" w:rsidRDefault="00C02F44" w:rsidP="00C02F44">
      <w:pPr>
        <w:autoSpaceDE w:val="0"/>
        <w:autoSpaceDN w:val="0"/>
        <w:adjustRightInd w:val="0"/>
        <w:rPr>
          <w:rFonts w:ascii="Calibri" w:hAnsi="Calibri" w:cs="Calibri"/>
        </w:rPr>
      </w:pPr>
      <w:bookmarkStart w:id="0" w:name="_Hlk41900704"/>
    </w:p>
    <w:p w14:paraId="017B2411" w14:textId="557C3748" w:rsidR="00C02F44" w:rsidRDefault="00500FA3" w:rsidP="00C02F44">
      <w:pPr>
        <w:autoSpaceDE w:val="0"/>
        <w:autoSpaceDN w:val="0"/>
        <w:adjustRightInd w:val="0"/>
        <w:rPr>
          <w:rFonts w:ascii="MS Sans Serif" w:hAnsi="MS Sans Serif" w:cs="MS Sans Serif"/>
          <w:sz w:val="20"/>
          <w:szCs w:val="20"/>
        </w:rPr>
      </w:pPr>
      <w:r w:rsidRPr="001A14CE">
        <w:rPr>
          <w:rFonts w:ascii="MS Sans Serif" w:hAnsi="MS Sans Serif" w:cs="MS Sans Serif"/>
          <w:position w:val="-30"/>
          <w:sz w:val="20"/>
          <w:szCs w:val="20"/>
        </w:rPr>
        <w:object w:dxaOrig="4760" w:dyaOrig="720" w14:anchorId="36D18689">
          <v:shape id="_x0000_i1047" type="#_x0000_t75" style="width:251.5pt;height:35.5pt" o:ole="" filled="t" fillcolor="#cfc">
            <v:imagedata r:id="rId50" o:title=""/>
          </v:shape>
          <o:OLEObject Type="Embed" ProgID="Equation.DSMT4" ShapeID="_x0000_i1047" DrawAspect="Content" ObjectID="_1761894659" r:id="rId51"/>
        </w:object>
      </w:r>
    </w:p>
    <w:p w14:paraId="6C235D8A" w14:textId="77777777" w:rsidR="00C02F44" w:rsidRDefault="00C02F44" w:rsidP="00C02F44">
      <w:pPr>
        <w:autoSpaceDE w:val="0"/>
        <w:autoSpaceDN w:val="0"/>
        <w:adjustRightInd w:val="0"/>
        <w:rPr>
          <w:rFonts w:ascii="MS Sans Serif" w:hAnsi="MS Sans Serif" w:cs="MS Sans Serif"/>
          <w:sz w:val="20"/>
          <w:szCs w:val="20"/>
        </w:rPr>
      </w:pPr>
    </w:p>
    <w:p w14:paraId="23C86E46" w14:textId="77777777" w:rsidR="00C02F44" w:rsidRPr="00500FA3" w:rsidRDefault="00C02F44" w:rsidP="00C02F44">
      <w:pPr>
        <w:autoSpaceDE w:val="0"/>
        <w:autoSpaceDN w:val="0"/>
        <w:adjustRightInd w:val="0"/>
        <w:rPr>
          <w:rFonts w:asciiTheme="minorHAnsi" w:hAnsiTheme="minorHAnsi" w:cstheme="minorHAnsi"/>
        </w:rPr>
      </w:pPr>
      <w:r w:rsidRPr="00500FA3">
        <w:rPr>
          <w:rFonts w:asciiTheme="minorHAnsi" w:hAnsiTheme="minorHAnsi" w:cstheme="minorHAnsi"/>
        </w:rPr>
        <w:t>where,</w:t>
      </w:r>
    </w:p>
    <w:p w14:paraId="5B3B2B1A" w14:textId="77777777" w:rsidR="00C02F44" w:rsidRDefault="00C02F44" w:rsidP="00C02F44">
      <w:pPr>
        <w:autoSpaceDE w:val="0"/>
        <w:autoSpaceDN w:val="0"/>
        <w:adjustRightInd w:val="0"/>
        <w:rPr>
          <w:rFonts w:ascii="MS Sans Serif" w:hAnsi="MS Sans Serif" w:cs="MS Sans Serif"/>
          <w:sz w:val="20"/>
          <w:szCs w:val="20"/>
        </w:rPr>
      </w:pPr>
    </w:p>
    <w:p w14:paraId="07F15CB7" w14:textId="1FB85437" w:rsidR="00C02F44" w:rsidRPr="00232F05" w:rsidRDefault="00500FA3" w:rsidP="00C02F44">
      <w:pPr>
        <w:autoSpaceDE w:val="0"/>
        <w:autoSpaceDN w:val="0"/>
        <w:adjustRightInd w:val="0"/>
        <w:rPr>
          <w:rFonts w:ascii="Calibri" w:hAnsi="Calibri" w:cs="Calibri"/>
        </w:rPr>
      </w:pPr>
      <w:r w:rsidRPr="003D3D16">
        <w:rPr>
          <w:rFonts w:ascii="MS Sans Serif" w:hAnsi="MS Sans Serif" w:cs="MS Sans Serif"/>
          <w:position w:val="-20"/>
          <w:sz w:val="20"/>
          <w:szCs w:val="20"/>
        </w:rPr>
        <w:object w:dxaOrig="5780" w:dyaOrig="520" w14:anchorId="1F230F9C">
          <v:shape id="_x0000_i1048" type="#_x0000_t75" style="width:338pt;height:28pt" o:ole="" filled="t" fillcolor="#cfc">
            <v:imagedata r:id="rId52" o:title=""/>
          </v:shape>
          <o:OLEObject Type="Embed" ProgID="Equation.DSMT4" ShapeID="_x0000_i1048" DrawAspect="Content" ObjectID="_1761894660" r:id="rId53"/>
        </w:object>
      </w:r>
    </w:p>
    <w:p w14:paraId="517E8AE8" w14:textId="77777777" w:rsidR="00C02F44" w:rsidRDefault="00C02F44" w:rsidP="00C02F44">
      <w:pPr>
        <w:autoSpaceDE w:val="0"/>
        <w:autoSpaceDN w:val="0"/>
        <w:adjustRightInd w:val="0"/>
        <w:rPr>
          <w:rFonts w:ascii="Calibri" w:hAnsi="Calibri" w:cs="Calibri"/>
        </w:rPr>
      </w:pPr>
    </w:p>
    <w:p w14:paraId="54EE803D" w14:textId="2F39845F" w:rsidR="00913EBF" w:rsidRDefault="00500FA3" w:rsidP="00C02F44">
      <w:pPr>
        <w:autoSpaceDE w:val="0"/>
        <w:autoSpaceDN w:val="0"/>
        <w:adjustRightInd w:val="0"/>
        <w:rPr>
          <w:rFonts w:ascii="Calibri" w:hAnsi="Calibri" w:cs="Calibri"/>
        </w:rPr>
      </w:pPr>
      <w:r>
        <w:rPr>
          <w:rFonts w:ascii="Calibri" w:hAnsi="Calibri" w:cs="Calibri"/>
        </w:rPr>
        <w:t xml:space="preserve">which was introduced in the Collective Oscillations (spin) file.  </w:t>
      </w:r>
      <w:r w:rsidR="007114AC" w:rsidRPr="00500FA3">
        <w:rPr>
          <w:rFonts w:asciiTheme="minorHAnsi" w:hAnsiTheme="minorHAnsi" w:cstheme="minorHAnsi"/>
        </w:rPr>
        <w:t>I</w:t>
      </w:r>
      <w:r w:rsidR="00817420" w:rsidRPr="00500FA3">
        <w:rPr>
          <w:rFonts w:asciiTheme="minorHAnsi" w:hAnsiTheme="minorHAnsi" w:cstheme="minorHAnsi"/>
        </w:rPr>
        <w:t xml:space="preserve"> think that it</w:t>
      </w:r>
      <w:r w:rsidR="008C29A2" w:rsidRPr="00500FA3">
        <w:rPr>
          <w:rFonts w:asciiTheme="minorHAnsi" w:hAnsiTheme="minorHAnsi" w:cstheme="minorHAnsi"/>
        </w:rPr>
        <w:t>’</w:t>
      </w:r>
      <w:r w:rsidR="00817420" w:rsidRPr="00500FA3">
        <w:rPr>
          <w:rFonts w:asciiTheme="minorHAnsi" w:hAnsiTheme="minorHAnsi" w:cstheme="minorHAnsi"/>
        </w:rPr>
        <w:t xml:space="preserve">s most typical to simply look at </w:t>
      </w:r>
      <w:r w:rsidR="007114AC" w:rsidRPr="00500FA3">
        <w:rPr>
          <w:rFonts w:asciiTheme="minorHAnsi" w:hAnsiTheme="minorHAnsi" w:cstheme="minorHAnsi"/>
        </w:rPr>
        <w:t xml:space="preserve">spin </w:t>
      </w:r>
      <w:r w:rsidR="00817420" w:rsidRPr="00500FA3">
        <w:rPr>
          <w:rFonts w:asciiTheme="minorHAnsi" w:hAnsiTheme="minorHAnsi" w:cstheme="minorHAnsi"/>
        </w:rPr>
        <w:t xml:space="preserve">correlations in the same direction – like zz. </w:t>
      </w:r>
      <w:r w:rsidR="00817420">
        <w:t xml:space="preserve"> </w:t>
      </w:r>
      <w:r w:rsidR="00913EBF">
        <w:rPr>
          <w:rFonts w:ascii="Calibri" w:hAnsi="Calibri" w:cs="Calibri"/>
        </w:rPr>
        <w:t>If we look in the Collective Excitations folder, we’ll see the Feynman diagram rules for this guy.  Anyway, going back to:</w:t>
      </w:r>
    </w:p>
    <w:p w14:paraId="3A016321" w14:textId="77777777" w:rsidR="00913EBF" w:rsidRDefault="00913EBF" w:rsidP="00C02F44">
      <w:pPr>
        <w:autoSpaceDE w:val="0"/>
        <w:autoSpaceDN w:val="0"/>
        <w:adjustRightInd w:val="0"/>
        <w:rPr>
          <w:rFonts w:ascii="Calibri" w:hAnsi="Calibri" w:cs="Calibri"/>
        </w:rPr>
      </w:pPr>
    </w:p>
    <w:p w14:paraId="01D39DA0" w14:textId="40204938" w:rsidR="00913EBF" w:rsidRDefault="00500FA3" w:rsidP="00C02F44">
      <w:pPr>
        <w:autoSpaceDE w:val="0"/>
        <w:autoSpaceDN w:val="0"/>
        <w:adjustRightInd w:val="0"/>
        <w:rPr>
          <w:rFonts w:ascii="Calibri" w:hAnsi="Calibri" w:cs="Calibri"/>
        </w:rPr>
      </w:pPr>
      <w:r w:rsidRPr="001A14CE">
        <w:rPr>
          <w:rFonts w:ascii="MS Sans Serif" w:hAnsi="MS Sans Serif" w:cs="MS Sans Serif"/>
          <w:position w:val="-30"/>
          <w:sz w:val="20"/>
          <w:szCs w:val="20"/>
        </w:rPr>
        <w:object w:dxaOrig="4760" w:dyaOrig="720" w14:anchorId="012B326A">
          <v:shape id="_x0000_i1049" type="#_x0000_t75" style="width:251.5pt;height:35.5pt" o:ole="">
            <v:imagedata r:id="rId54" o:title=""/>
          </v:shape>
          <o:OLEObject Type="Embed" ProgID="Equation.DSMT4" ShapeID="_x0000_i1049" DrawAspect="Content" ObjectID="_1761894661" r:id="rId55"/>
        </w:object>
      </w:r>
    </w:p>
    <w:p w14:paraId="53B1145E" w14:textId="77777777" w:rsidR="00DA1368" w:rsidRDefault="00DA1368" w:rsidP="00C02F44">
      <w:pPr>
        <w:autoSpaceDE w:val="0"/>
        <w:autoSpaceDN w:val="0"/>
        <w:adjustRightInd w:val="0"/>
        <w:rPr>
          <w:rFonts w:ascii="Calibri" w:hAnsi="Calibri" w:cs="Calibri"/>
        </w:rPr>
      </w:pPr>
    </w:p>
    <w:p w14:paraId="1934BB75" w14:textId="3052CBD6" w:rsidR="00DA1368" w:rsidRDefault="006C07E6" w:rsidP="00C02F44">
      <w:pPr>
        <w:autoSpaceDE w:val="0"/>
        <w:autoSpaceDN w:val="0"/>
        <w:adjustRightInd w:val="0"/>
        <w:rPr>
          <w:rFonts w:ascii="Calibri" w:hAnsi="Calibri" w:cs="Calibri"/>
        </w:rPr>
      </w:pPr>
      <w:r>
        <w:rPr>
          <w:rFonts w:ascii="Calibri" w:hAnsi="Calibri" w:cs="Calibri"/>
        </w:rPr>
        <w:t>and taking the Fourier transform,</w:t>
      </w:r>
      <w:r w:rsidR="00500FA3">
        <w:rPr>
          <w:rFonts w:ascii="Calibri" w:hAnsi="Calibri" w:cs="Calibri"/>
        </w:rPr>
        <w:t xml:space="preserve"> we come to:</w:t>
      </w:r>
    </w:p>
    <w:p w14:paraId="6C7586C4" w14:textId="77777777" w:rsidR="00C02F44" w:rsidRPr="00232F05" w:rsidRDefault="00C02F44" w:rsidP="00C02F44">
      <w:pPr>
        <w:rPr>
          <w:rFonts w:ascii="Calibri" w:hAnsi="Calibri" w:cs="Calibri"/>
        </w:rPr>
      </w:pPr>
    </w:p>
    <w:p w14:paraId="73BFFC9E" w14:textId="053526D6" w:rsidR="00C02F44" w:rsidRDefault="00500FA3" w:rsidP="00C02F44">
      <w:pPr>
        <w:rPr>
          <w:rFonts w:ascii="Calibri" w:hAnsi="Calibri" w:cs="Calibri"/>
        </w:rPr>
      </w:pPr>
      <w:r w:rsidRPr="007D4310">
        <w:rPr>
          <w:rFonts w:ascii="Calibri" w:hAnsi="Calibri" w:cs="Calibri"/>
          <w:position w:val="-12"/>
        </w:rPr>
        <w:object w:dxaOrig="3320" w:dyaOrig="380" w14:anchorId="1F1AA559">
          <v:shape id="_x0000_i1050" type="#_x0000_t75" style="width:193.5pt;height:20pt" o:ole="">
            <v:imagedata r:id="rId56" o:title=""/>
          </v:shape>
          <o:OLEObject Type="Embed" ProgID="Equation.DSMT4" ShapeID="_x0000_i1050" DrawAspect="Content" ObjectID="_1761894662" r:id="rId57"/>
        </w:object>
      </w:r>
      <w:r w:rsidR="00C02F44" w:rsidRPr="00232F05">
        <w:rPr>
          <w:rFonts w:ascii="Calibri" w:hAnsi="Calibri" w:cs="Calibri"/>
        </w:rPr>
        <w:t xml:space="preserve"> </w:t>
      </w:r>
    </w:p>
    <w:p w14:paraId="72405823" w14:textId="77777777" w:rsidR="007D3601" w:rsidRDefault="007D3601" w:rsidP="00C02F44">
      <w:pPr>
        <w:rPr>
          <w:rFonts w:ascii="Calibri" w:hAnsi="Calibri" w:cs="Calibri"/>
        </w:rPr>
      </w:pPr>
    </w:p>
    <w:p w14:paraId="7F967453" w14:textId="20636069" w:rsidR="007D3601" w:rsidRDefault="007D3601" w:rsidP="00C02F44">
      <w:pPr>
        <w:rPr>
          <w:rFonts w:ascii="Calibri" w:hAnsi="Calibri" w:cs="Calibri"/>
        </w:rPr>
      </w:pPr>
      <w:r>
        <w:rPr>
          <w:rFonts w:ascii="Calibri" w:hAnsi="Calibri" w:cs="Calibri"/>
        </w:rPr>
        <w:t>Multiplying both sides by gμ</w:t>
      </w:r>
      <w:r>
        <w:rPr>
          <w:rFonts w:ascii="Calibri" w:hAnsi="Calibri" w:cs="Calibri"/>
          <w:vertAlign w:val="subscript"/>
        </w:rPr>
        <w:t>B</w:t>
      </w:r>
      <w:r>
        <w:rPr>
          <w:rFonts w:ascii="Calibri" w:hAnsi="Calibri" w:cs="Calibri"/>
        </w:rPr>
        <w:t>, we have:</w:t>
      </w:r>
    </w:p>
    <w:p w14:paraId="1AD6218C" w14:textId="77777777" w:rsidR="007D3601" w:rsidRDefault="007D3601" w:rsidP="00C02F44">
      <w:pPr>
        <w:rPr>
          <w:rFonts w:ascii="Calibri" w:hAnsi="Calibri" w:cs="Calibri"/>
        </w:rPr>
      </w:pPr>
    </w:p>
    <w:p w14:paraId="3D817599" w14:textId="2CC1580C" w:rsidR="007D3601" w:rsidRPr="007D3601" w:rsidRDefault="007D3601" w:rsidP="00C02F44">
      <w:pPr>
        <w:rPr>
          <w:rFonts w:ascii="Calibri" w:hAnsi="Calibri" w:cs="Calibri"/>
        </w:rPr>
      </w:pPr>
      <w:r w:rsidRPr="007D4310">
        <w:rPr>
          <w:rFonts w:ascii="Calibri" w:hAnsi="Calibri" w:cs="Calibri"/>
          <w:position w:val="-12"/>
        </w:rPr>
        <w:object w:dxaOrig="3660" w:dyaOrig="380" w14:anchorId="5228A160">
          <v:shape id="_x0000_i1051" type="#_x0000_t75" style="width:213.5pt;height:20pt" o:ole="">
            <v:imagedata r:id="rId58" o:title=""/>
          </v:shape>
          <o:OLEObject Type="Embed" ProgID="Equation.DSMT4" ShapeID="_x0000_i1051" DrawAspect="Content" ObjectID="_1761894663" r:id="rId59"/>
        </w:object>
      </w:r>
    </w:p>
    <w:p w14:paraId="274B3D80" w14:textId="77777777" w:rsidR="00C02F44" w:rsidRDefault="00C02F44" w:rsidP="00C02F44">
      <w:pPr>
        <w:rPr>
          <w:rFonts w:ascii="Calibri" w:hAnsi="Calibri" w:cs="Calibri"/>
        </w:rPr>
      </w:pPr>
    </w:p>
    <w:p w14:paraId="0C8313F8" w14:textId="77777777" w:rsidR="00C02F44" w:rsidRDefault="00C02F44" w:rsidP="00C02F44">
      <w:pPr>
        <w:rPr>
          <w:rFonts w:ascii="Calibri" w:hAnsi="Calibri" w:cs="Calibri"/>
        </w:rPr>
      </w:pPr>
      <w:r>
        <w:rPr>
          <w:rFonts w:ascii="Calibri" w:hAnsi="Calibri" w:cs="Calibri"/>
        </w:rPr>
        <w:t>Now from the EM folder/Insulators or whatever, we’ll recall [faux Gaussian units],</w:t>
      </w:r>
    </w:p>
    <w:p w14:paraId="1BA1DAFA" w14:textId="77777777" w:rsidR="00C02F44" w:rsidRDefault="00C02F44" w:rsidP="00C02F44">
      <w:pPr>
        <w:rPr>
          <w:rFonts w:ascii="Calibri" w:hAnsi="Calibri" w:cs="Calibri"/>
        </w:rPr>
      </w:pPr>
    </w:p>
    <w:p w14:paraId="2B5A600B" w14:textId="77777777" w:rsidR="00C02F44" w:rsidRDefault="00C02F44" w:rsidP="00C02F44">
      <w:r w:rsidRPr="008A22B9">
        <w:rPr>
          <w:position w:val="-10"/>
        </w:rPr>
        <w:object w:dxaOrig="3320" w:dyaOrig="320" w14:anchorId="5C45FA5B">
          <v:shape id="_x0000_i1052" type="#_x0000_t75" style="width:180.5pt;height:17.5pt" o:ole="">
            <v:imagedata r:id="rId60" o:title=""/>
          </v:shape>
          <o:OLEObject Type="Embed" ProgID="Equation.DSMT4" ShapeID="_x0000_i1052" DrawAspect="Content" ObjectID="_1761894664" r:id="rId61"/>
        </w:object>
      </w:r>
    </w:p>
    <w:p w14:paraId="45235AD1" w14:textId="77777777" w:rsidR="00C02F44" w:rsidRDefault="00C02F44" w:rsidP="00C02F44">
      <w:pPr>
        <w:rPr>
          <w:rFonts w:ascii="Calibri" w:hAnsi="Calibri" w:cs="Calibri"/>
        </w:rPr>
      </w:pPr>
    </w:p>
    <w:p w14:paraId="785FCF13" w14:textId="77777777" w:rsidR="00C02F44" w:rsidRDefault="00C02F44" w:rsidP="00C02F44">
      <w:pPr>
        <w:rPr>
          <w:rFonts w:ascii="Calibri" w:hAnsi="Calibri" w:cs="Calibri"/>
        </w:rPr>
      </w:pPr>
      <w:r>
        <w:rPr>
          <w:rFonts w:ascii="Calibri" w:hAnsi="Calibri" w:cs="Calibri"/>
        </w:rPr>
        <w:t>So,</w:t>
      </w:r>
    </w:p>
    <w:p w14:paraId="0E98133A" w14:textId="77777777" w:rsidR="00C02F44" w:rsidRDefault="00C02F44" w:rsidP="00C02F44">
      <w:pPr>
        <w:rPr>
          <w:rFonts w:ascii="Calibri" w:hAnsi="Calibri" w:cs="Calibri"/>
        </w:rPr>
      </w:pPr>
    </w:p>
    <w:p w14:paraId="7B264D57" w14:textId="13D657D4" w:rsidR="00C02F44" w:rsidRDefault="007D3601" w:rsidP="00C02F44">
      <w:pPr>
        <w:rPr>
          <w:rFonts w:ascii="Calibri" w:hAnsi="Calibri" w:cs="Calibri"/>
        </w:rPr>
      </w:pPr>
      <w:r w:rsidRPr="008A22B9">
        <w:rPr>
          <w:position w:val="-48"/>
        </w:rPr>
        <w:object w:dxaOrig="4819" w:dyaOrig="1080" w14:anchorId="03A269A7">
          <v:shape id="_x0000_i1053" type="#_x0000_t75" style="width:258pt;height:57.5pt" o:ole="">
            <v:imagedata r:id="rId62" o:title=""/>
          </v:shape>
          <o:OLEObject Type="Embed" ProgID="Equation.DSMT4" ShapeID="_x0000_i1053" DrawAspect="Content" ObjectID="_1761894665" r:id="rId63"/>
        </w:object>
      </w:r>
    </w:p>
    <w:p w14:paraId="0772086E" w14:textId="77777777" w:rsidR="00C02F44" w:rsidRDefault="00C02F44" w:rsidP="00C02F44">
      <w:pPr>
        <w:rPr>
          <w:rFonts w:ascii="Calibri" w:hAnsi="Calibri" w:cs="Calibri"/>
        </w:rPr>
      </w:pPr>
    </w:p>
    <w:p w14:paraId="3CBA2752" w14:textId="600F1C41" w:rsidR="00C02F44" w:rsidRDefault="00C02F44" w:rsidP="00C02F44">
      <w:pPr>
        <w:rPr>
          <w:rFonts w:ascii="Calibri" w:hAnsi="Calibri" w:cs="Calibri"/>
        </w:rPr>
      </w:pPr>
      <w:r>
        <w:rPr>
          <w:rFonts w:ascii="Calibri" w:hAnsi="Calibri" w:cs="Calibri"/>
        </w:rPr>
        <w:t>The division by the tensor must be interpreted as multiplying (from the left), by the matrix inverse of that tensor.  And so we have</w:t>
      </w:r>
      <w:r w:rsidR="007D3601">
        <w:rPr>
          <w:rFonts w:ascii="Calibri" w:hAnsi="Calibri" w:cs="Calibri"/>
        </w:rPr>
        <w:t>, filling this into the above m = -Π(gμ</w:t>
      </w:r>
      <w:r w:rsidR="007D3601">
        <w:rPr>
          <w:rFonts w:ascii="Calibri" w:hAnsi="Calibri" w:cs="Calibri"/>
          <w:vertAlign w:val="subscript"/>
        </w:rPr>
        <w:t>B</w:t>
      </w:r>
      <w:r w:rsidR="007D3601">
        <w:rPr>
          <w:rFonts w:ascii="Calibri" w:hAnsi="Calibri" w:cs="Calibri"/>
        </w:rPr>
        <w:t>)</w:t>
      </w:r>
      <w:r w:rsidR="007D3601">
        <w:rPr>
          <w:rFonts w:ascii="Calibri" w:hAnsi="Calibri" w:cs="Calibri"/>
          <w:vertAlign w:val="superscript"/>
        </w:rPr>
        <w:t>2</w:t>
      </w:r>
      <w:r w:rsidR="007D3601">
        <w:rPr>
          <w:rFonts w:ascii="Calibri" w:hAnsi="Calibri" w:cs="Calibri"/>
        </w:rPr>
        <w:t>B equation</w:t>
      </w:r>
      <w:r>
        <w:rPr>
          <w:rFonts w:ascii="Calibri" w:hAnsi="Calibri" w:cs="Calibri"/>
        </w:rPr>
        <w:t>:</w:t>
      </w:r>
    </w:p>
    <w:p w14:paraId="4C8359F1" w14:textId="77777777" w:rsidR="00C02F44" w:rsidRDefault="00C02F44" w:rsidP="00C02F44">
      <w:pPr>
        <w:rPr>
          <w:rFonts w:ascii="Calibri" w:hAnsi="Calibri" w:cs="Calibri"/>
        </w:rPr>
      </w:pPr>
    </w:p>
    <w:p w14:paraId="661E54A1" w14:textId="307E65FD" w:rsidR="00C02F44" w:rsidRDefault="007D3601" w:rsidP="00C02F44">
      <w:pPr>
        <w:rPr>
          <w:rFonts w:ascii="Calibri" w:hAnsi="Calibri" w:cs="Calibri"/>
        </w:rPr>
      </w:pPr>
      <w:r w:rsidRPr="001A14CE">
        <w:rPr>
          <w:rFonts w:ascii="Calibri" w:hAnsi="Calibri" w:cs="Calibri"/>
          <w:position w:val="-30"/>
        </w:rPr>
        <w:object w:dxaOrig="4340" w:dyaOrig="720" w14:anchorId="08BBD110">
          <v:shape id="_x0000_i1054" type="#_x0000_t75" style="width:271.5pt;height:40.5pt" o:ole="">
            <v:imagedata r:id="rId64" o:title=""/>
          </v:shape>
          <o:OLEObject Type="Embed" ProgID="Equation.DSMT4" ShapeID="_x0000_i1054" DrawAspect="Content" ObjectID="_1761894666" r:id="rId65"/>
        </w:object>
      </w:r>
    </w:p>
    <w:p w14:paraId="34A19BC6" w14:textId="77777777" w:rsidR="00C02F44" w:rsidRDefault="00C02F44" w:rsidP="00C02F44">
      <w:pPr>
        <w:rPr>
          <w:rFonts w:ascii="Calibri" w:hAnsi="Calibri" w:cs="Calibri"/>
        </w:rPr>
      </w:pPr>
    </w:p>
    <w:p w14:paraId="36E1DB5D" w14:textId="77777777" w:rsidR="00C02F44" w:rsidRDefault="00C02F44" w:rsidP="00C02F44">
      <w:pPr>
        <w:rPr>
          <w:rFonts w:ascii="Calibri" w:hAnsi="Calibri" w:cs="Calibri"/>
        </w:rPr>
      </w:pPr>
      <w:r>
        <w:rPr>
          <w:rFonts w:ascii="Calibri" w:hAnsi="Calibri" w:cs="Calibri"/>
        </w:rPr>
        <w:t>And that makes the susceptibility equal to:</w:t>
      </w:r>
    </w:p>
    <w:p w14:paraId="11A94FDC" w14:textId="77777777" w:rsidR="00C02F44" w:rsidRPr="00232F05" w:rsidRDefault="00C02F44" w:rsidP="00C02F44">
      <w:pPr>
        <w:rPr>
          <w:rFonts w:ascii="Calibri" w:hAnsi="Calibri" w:cs="Calibri"/>
        </w:rPr>
      </w:pPr>
    </w:p>
    <w:p w14:paraId="276972EE" w14:textId="75657D64" w:rsidR="00C02F44" w:rsidRDefault="007D3601" w:rsidP="00C02F44">
      <w:pPr>
        <w:pStyle w:val="NoSpacing"/>
        <w:rPr>
          <w:sz w:val="24"/>
          <w:szCs w:val="24"/>
        </w:rPr>
      </w:pPr>
      <w:r w:rsidRPr="001A14CE">
        <w:rPr>
          <w:rFonts w:ascii="Calibri" w:eastAsia="Times New Roman" w:hAnsi="Calibri" w:cs="Calibri"/>
          <w:position w:val="-30"/>
          <w:sz w:val="24"/>
          <w:szCs w:val="24"/>
        </w:rPr>
        <w:object w:dxaOrig="3440" w:dyaOrig="720" w14:anchorId="284FF86E">
          <v:shape id="_x0000_i1055" type="#_x0000_t75" style="width:206pt;height:40pt" o:ole="" filled="t" fillcolor="#cfc">
            <v:imagedata r:id="rId66" o:title=""/>
          </v:shape>
          <o:OLEObject Type="Embed" ProgID="Equation.DSMT4" ShapeID="_x0000_i1055" DrawAspect="Content" ObjectID="_1761894667" r:id="rId67"/>
        </w:object>
      </w:r>
    </w:p>
    <w:p w14:paraId="136ADD4B" w14:textId="77777777" w:rsidR="00C02F44" w:rsidRDefault="00C02F44" w:rsidP="00C02F44">
      <w:pPr>
        <w:pStyle w:val="NoSpacing"/>
        <w:rPr>
          <w:sz w:val="24"/>
          <w:szCs w:val="24"/>
        </w:rPr>
      </w:pPr>
    </w:p>
    <w:p w14:paraId="77840BCE" w14:textId="7A943A40" w:rsidR="009F49A0" w:rsidRPr="009F49A0" w:rsidRDefault="00C02F44" w:rsidP="00C02F44">
      <w:pPr>
        <w:pStyle w:val="NoSpacing"/>
        <w:rPr>
          <w:sz w:val="24"/>
          <w:szCs w:val="24"/>
        </w:rPr>
      </w:pPr>
      <w:r>
        <w:rPr>
          <w:sz w:val="24"/>
          <w:szCs w:val="24"/>
        </w:rPr>
        <w:t xml:space="preserve">Again, have to interpret the division as a matrix inverse.  </w:t>
      </w:r>
      <w:bookmarkEnd w:id="0"/>
      <w:r w:rsidR="009F49A0">
        <w:rPr>
          <w:sz w:val="24"/>
          <w:szCs w:val="24"/>
        </w:rPr>
        <w:t xml:space="preserve">Let’s suppose the </w:t>
      </w:r>
      <w:r w:rsidR="009F49A0" w:rsidRPr="009F49A0">
        <w:rPr>
          <w:rFonts w:ascii="Calibri" w:hAnsi="Calibri" w:cs="Calibri"/>
          <w:b/>
          <w:sz w:val="24"/>
          <w:szCs w:val="24"/>
        </w:rPr>
        <w:t>Π</w:t>
      </w:r>
      <w:r w:rsidR="009F49A0">
        <w:rPr>
          <w:sz w:val="24"/>
          <w:szCs w:val="24"/>
        </w:rPr>
        <w:t xml:space="preserve"> tensor is isotropic.  Then it would be diagonal with all components equal.  We’ll single out the </w:t>
      </w:r>
      <w:r w:rsidR="009F49A0">
        <w:rPr>
          <w:rFonts w:ascii="Calibri" w:hAnsi="Calibri" w:cs="Calibri"/>
          <w:sz w:val="24"/>
          <w:szCs w:val="24"/>
        </w:rPr>
        <w:t>Π</w:t>
      </w:r>
      <w:r w:rsidR="009F49A0">
        <w:rPr>
          <w:sz w:val="24"/>
          <w:szCs w:val="24"/>
          <w:vertAlign w:val="subscript"/>
        </w:rPr>
        <w:t>s</w:t>
      </w:r>
      <w:r w:rsidR="009F49A0">
        <w:rPr>
          <w:sz w:val="24"/>
          <w:szCs w:val="24"/>
          <w:vertAlign w:val="superscript"/>
        </w:rPr>
        <w:t>R(zz)</w:t>
      </w:r>
      <w:r w:rsidR="009F49A0">
        <w:rPr>
          <w:sz w:val="24"/>
          <w:szCs w:val="24"/>
        </w:rPr>
        <w:t>(q,</w:t>
      </w:r>
      <w:r w:rsidR="009F49A0">
        <w:rPr>
          <w:rFonts w:ascii="Calibri" w:hAnsi="Calibri" w:cs="Calibri"/>
          <w:sz w:val="24"/>
          <w:szCs w:val="24"/>
        </w:rPr>
        <w:t>ω</w:t>
      </w:r>
      <w:r w:rsidR="009F49A0">
        <w:rPr>
          <w:sz w:val="24"/>
          <w:szCs w:val="24"/>
        </w:rPr>
        <w:t>) component, and say:</w:t>
      </w:r>
    </w:p>
    <w:p w14:paraId="0112A35B" w14:textId="77777777" w:rsidR="009F49A0" w:rsidRDefault="009F49A0" w:rsidP="00C02F44">
      <w:pPr>
        <w:pStyle w:val="NoSpacing"/>
        <w:rPr>
          <w:sz w:val="24"/>
          <w:szCs w:val="24"/>
        </w:rPr>
      </w:pPr>
    </w:p>
    <w:p w14:paraId="11AC46C0" w14:textId="33D602FB" w:rsidR="009F49A0" w:rsidRDefault="009F49A0" w:rsidP="00C02F44">
      <w:pPr>
        <w:pStyle w:val="NoSpacing"/>
        <w:rPr>
          <w:sz w:val="24"/>
          <w:szCs w:val="24"/>
        </w:rPr>
      </w:pPr>
      <w:r w:rsidRPr="009F49A0">
        <w:rPr>
          <w:position w:val="-52"/>
        </w:rPr>
        <w:object w:dxaOrig="10860" w:dyaOrig="1160" w14:anchorId="57C23BF4">
          <v:shape id="_x0000_i1070" type="#_x0000_t75" style="width:527.5pt;height:56.5pt" o:ole="">
            <v:imagedata r:id="rId68" o:title=""/>
          </v:shape>
          <o:OLEObject Type="Embed" ProgID="Equation.DSMT4" ShapeID="_x0000_i1070" DrawAspect="Content" ObjectID="_1761894668" r:id="rId69"/>
        </w:object>
      </w:r>
    </w:p>
    <w:p w14:paraId="6BEDA3A7" w14:textId="77777777" w:rsidR="009F49A0" w:rsidRDefault="009F49A0" w:rsidP="00C02F44">
      <w:pPr>
        <w:pStyle w:val="NoSpacing"/>
        <w:rPr>
          <w:sz w:val="24"/>
          <w:szCs w:val="24"/>
        </w:rPr>
      </w:pPr>
    </w:p>
    <w:p w14:paraId="2468E9FE" w14:textId="734AC472" w:rsidR="00013987" w:rsidRDefault="009F49A0" w:rsidP="00C02F44">
      <w:pPr>
        <w:pStyle w:val="NoSpacing"/>
        <w:rPr>
          <w:sz w:val="24"/>
          <w:szCs w:val="24"/>
        </w:rPr>
      </w:pPr>
      <w:r>
        <w:rPr>
          <w:sz w:val="24"/>
          <w:szCs w:val="24"/>
        </w:rPr>
        <w:t>And so we’d have:</w:t>
      </w:r>
    </w:p>
    <w:p w14:paraId="077701E1" w14:textId="77777777" w:rsidR="009F49A0" w:rsidRDefault="009F49A0" w:rsidP="00C02F44">
      <w:pPr>
        <w:pStyle w:val="NoSpacing"/>
        <w:rPr>
          <w:sz w:val="24"/>
          <w:szCs w:val="24"/>
        </w:rPr>
      </w:pPr>
    </w:p>
    <w:p w14:paraId="570EEB7F" w14:textId="52356A48" w:rsidR="009F49A0" w:rsidRDefault="009F49A0" w:rsidP="00C02F44">
      <w:pPr>
        <w:pStyle w:val="NoSpacing"/>
      </w:pPr>
      <w:r w:rsidRPr="00A762D5">
        <w:rPr>
          <w:position w:val="-30"/>
        </w:rPr>
        <w:object w:dxaOrig="3800" w:dyaOrig="720" w14:anchorId="3715ACE7">
          <v:shape id="_x0000_i1067" type="#_x0000_t75" style="width:190pt;height:36pt" o:ole="" o:bordertopcolor="#0070c0" o:borderleftcolor="#0070c0" o:borderbottomcolor="#0070c0" o:borderrightcolor="#0070c0">
            <v:imagedata r:id="rId70" o:title=""/>
            <w10:bordertop type="single" width="12"/>
            <w10:borderleft type="single" width="12"/>
            <w10:borderbottom type="single" width="12"/>
            <w10:borderright type="single" width="12"/>
          </v:shape>
          <o:OLEObject Type="Embed" ProgID="Equation.DSMT4" ShapeID="_x0000_i1067" DrawAspect="Content" ObjectID="_1761894669" r:id="rId71"/>
        </w:object>
      </w:r>
    </w:p>
    <w:p w14:paraId="6C7F3F67" w14:textId="77777777" w:rsidR="00013987" w:rsidRDefault="00013987" w:rsidP="00C02F44">
      <w:pPr>
        <w:pStyle w:val="NoSpacing"/>
      </w:pPr>
    </w:p>
    <w:p w14:paraId="7A785B5D" w14:textId="573FCEC8" w:rsidR="00013987" w:rsidRPr="007D3601" w:rsidRDefault="00730741" w:rsidP="00013987">
      <w:pPr>
        <w:rPr>
          <w:rFonts w:asciiTheme="minorHAnsi" w:hAnsiTheme="minorHAnsi" w:cstheme="minorHAnsi"/>
          <w:b/>
          <w:sz w:val="28"/>
          <w:szCs w:val="28"/>
        </w:rPr>
      </w:pPr>
      <w:r w:rsidRPr="007D3601">
        <w:rPr>
          <w:rFonts w:asciiTheme="minorHAnsi" w:hAnsiTheme="minorHAnsi" w:cstheme="minorHAnsi"/>
          <w:b/>
          <w:sz w:val="28"/>
          <w:szCs w:val="28"/>
        </w:rPr>
        <w:t xml:space="preserve">Appendix: </w:t>
      </w:r>
      <w:r w:rsidR="00013987" w:rsidRPr="007D3601">
        <w:rPr>
          <w:rFonts w:asciiTheme="minorHAnsi" w:hAnsiTheme="minorHAnsi" w:cstheme="minorHAnsi"/>
          <w:b/>
          <w:sz w:val="28"/>
          <w:szCs w:val="28"/>
        </w:rPr>
        <w:t>Consequence</w:t>
      </w:r>
      <w:r w:rsidRPr="007D3601">
        <w:rPr>
          <w:rFonts w:asciiTheme="minorHAnsi" w:hAnsiTheme="minorHAnsi" w:cstheme="minorHAnsi"/>
          <w:b/>
          <w:sz w:val="28"/>
          <w:szCs w:val="28"/>
        </w:rPr>
        <w:t>s</w:t>
      </w:r>
      <w:r w:rsidR="00013987" w:rsidRPr="007D3601">
        <w:rPr>
          <w:rFonts w:asciiTheme="minorHAnsi" w:hAnsiTheme="minorHAnsi" w:cstheme="minorHAnsi"/>
          <w:b/>
          <w:sz w:val="28"/>
          <w:szCs w:val="28"/>
        </w:rPr>
        <w:t xml:space="preserve"> of Spin Rotation Symmetry</w:t>
      </w:r>
    </w:p>
    <w:p w14:paraId="765606ED" w14:textId="653B1ACA" w:rsidR="00013987" w:rsidRPr="002447D3" w:rsidRDefault="00730741" w:rsidP="00013987">
      <w:pPr>
        <w:rPr>
          <w:rFonts w:asciiTheme="minorHAnsi" w:hAnsiTheme="minorHAnsi" w:cstheme="minorHAnsi"/>
        </w:rPr>
      </w:pPr>
      <w:r>
        <w:rPr>
          <w:rFonts w:asciiTheme="minorHAnsi" w:hAnsiTheme="minorHAnsi" w:cstheme="minorHAnsi"/>
        </w:rPr>
        <w:t>Can refer to Quantum Mechanics/Identical Particles/2</w:t>
      </w:r>
      <w:r w:rsidRPr="00730741">
        <w:rPr>
          <w:rFonts w:asciiTheme="minorHAnsi" w:hAnsiTheme="minorHAnsi" w:cstheme="minorHAnsi"/>
          <w:vertAlign w:val="superscript"/>
        </w:rPr>
        <w:t>nd</w:t>
      </w:r>
      <w:r>
        <w:rPr>
          <w:rFonts w:asciiTheme="minorHAnsi" w:hAnsiTheme="minorHAnsi" w:cstheme="minorHAnsi"/>
        </w:rPr>
        <w:t xml:space="preserve"> Quantization in Position space file for the effects of symmetry operators on creation/annihilation operators.  We’ll take a look at the spin-rotation operator.  Doing a </w:t>
      </w:r>
      <w:r w:rsidR="00013987">
        <w:rPr>
          <w:rFonts w:asciiTheme="minorHAnsi" w:hAnsiTheme="minorHAnsi" w:cstheme="minorHAnsi"/>
        </w:rPr>
        <w:t>180</w:t>
      </w:r>
      <w:r w:rsidR="00013987">
        <w:rPr>
          <w:rFonts w:asciiTheme="minorHAnsi" w:hAnsiTheme="minorHAnsi" w:cstheme="minorHAnsi"/>
          <w:vertAlign w:val="superscript"/>
        </w:rPr>
        <w:t>o</w:t>
      </w:r>
      <w:r w:rsidR="00013987">
        <w:rPr>
          <w:rFonts w:asciiTheme="minorHAnsi" w:hAnsiTheme="minorHAnsi" w:cstheme="minorHAnsi"/>
        </w:rPr>
        <w:t xml:space="preserve"> rotation </w:t>
      </w:r>
      <w:r>
        <w:rPr>
          <w:rFonts w:asciiTheme="minorHAnsi" w:hAnsiTheme="minorHAnsi" w:cstheme="minorHAnsi"/>
        </w:rPr>
        <w:t>about the y-axis, as the following effect</w:t>
      </w:r>
      <w:r w:rsidR="00013987">
        <w:rPr>
          <w:rFonts w:asciiTheme="minorHAnsi" w:hAnsiTheme="minorHAnsi" w:cstheme="minorHAnsi"/>
        </w:rPr>
        <w:t>,</w:t>
      </w:r>
    </w:p>
    <w:p w14:paraId="5D54B3F2" w14:textId="77777777" w:rsidR="00013987" w:rsidRDefault="00013987" w:rsidP="00013987">
      <w:pPr>
        <w:rPr>
          <w:rFonts w:asciiTheme="minorHAnsi" w:hAnsiTheme="minorHAnsi" w:cstheme="minorHAnsi"/>
        </w:rPr>
      </w:pPr>
    </w:p>
    <w:p w14:paraId="74762999" w14:textId="53C29EED" w:rsidR="00013987" w:rsidRDefault="001806A7" w:rsidP="00013987">
      <w:pPr>
        <w:rPr>
          <w:rFonts w:ascii="Calibri" w:hAnsi="Calibri" w:cs="Calibri"/>
        </w:rPr>
      </w:pPr>
      <w:r w:rsidRPr="001806A7">
        <w:rPr>
          <w:rFonts w:ascii="Calibri" w:hAnsi="Calibri" w:cs="Calibri"/>
          <w:position w:val="-34"/>
        </w:rPr>
        <w:object w:dxaOrig="3620" w:dyaOrig="800" w14:anchorId="08C4831B">
          <v:shape id="_x0000_i1056" type="#_x0000_t75" style="width:173.5pt;height:38pt" o:ole="" fillcolor="#cfc">
            <v:imagedata r:id="rId72" o:title=""/>
          </v:shape>
          <o:OLEObject Type="Embed" ProgID="Equation.DSMT4" ShapeID="_x0000_i1056" DrawAspect="Content" ObjectID="_1761894670" r:id="rId73"/>
        </w:object>
      </w:r>
    </w:p>
    <w:p w14:paraId="7426C811" w14:textId="77777777" w:rsidR="00013987" w:rsidRDefault="00013987" w:rsidP="00013987">
      <w:pPr>
        <w:rPr>
          <w:rFonts w:ascii="Calibri" w:hAnsi="Calibri" w:cs="Calibri"/>
        </w:rPr>
      </w:pPr>
    </w:p>
    <w:p w14:paraId="0ED62D30" w14:textId="0B3F6584" w:rsidR="00013987" w:rsidRPr="00730741" w:rsidRDefault="001806A7" w:rsidP="00013987">
      <w:pPr>
        <w:rPr>
          <w:rFonts w:ascii="Calibri" w:hAnsi="Calibri" w:cs="Calibri"/>
        </w:rPr>
      </w:pPr>
      <w:r>
        <w:rPr>
          <w:rFonts w:ascii="Calibri" w:hAnsi="Calibri" w:cs="Calibri"/>
        </w:rPr>
        <w:t>Applying this to our GF,</w:t>
      </w:r>
      <w:r w:rsidR="00730741">
        <w:rPr>
          <w:rFonts w:ascii="Calibri" w:hAnsi="Calibri" w:cs="Calibri"/>
        </w:rPr>
        <w:t xml:space="preserve"> and noting that we can </w:t>
      </w:r>
      <w:r w:rsidR="00730741" w:rsidRPr="00730741">
        <w:rPr>
          <w:rFonts w:asciiTheme="minorHAnsi" w:hAnsiTheme="minorHAnsi" w:cstheme="minorHAnsi"/>
        </w:rPr>
        <w:t>slide D, D</w:t>
      </w:r>
      <w:r w:rsidR="00730741" w:rsidRPr="00730741">
        <w:rPr>
          <w:rFonts w:asciiTheme="minorHAnsi" w:hAnsiTheme="minorHAnsi" w:cstheme="minorHAnsi"/>
          <w:vertAlign w:val="superscript"/>
        </w:rPr>
        <w:t>†</w:t>
      </w:r>
      <w:r w:rsidR="00730741" w:rsidRPr="00730741">
        <w:rPr>
          <w:rFonts w:asciiTheme="minorHAnsi" w:hAnsiTheme="minorHAnsi" w:cstheme="minorHAnsi"/>
        </w:rPr>
        <w:t xml:space="preserve"> past the Hamiltonian b/c H</w:t>
      </w:r>
      <w:r w:rsidR="00730741" w:rsidRPr="00730741">
        <w:rPr>
          <w:rFonts w:asciiTheme="minorHAnsi" w:hAnsiTheme="minorHAnsi" w:cstheme="minorHAnsi"/>
          <w:vertAlign w:val="subscript"/>
        </w:rPr>
        <w:t>eq</w:t>
      </w:r>
      <w:r w:rsidR="00730741">
        <w:rPr>
          <w:rFonts w:asciiTheme="minorHAnsi" w:hAnsiTheme="minorHAnsi" w:cstheme="minorHAnsi"/>
        </w:rPr>
        <w:t xml:space="preserve"> (which doesn’t include the perturbative </w:t>
      </w:r>
      <w:r w:rsidR="00730741" w:rsidRPr="00730741">
        <w:rPr>
          <w:rFonts w:asciiTheme="minorHAnsi" w:hAnsiTheme="minorHAnsi" w:cstheme="minorHAnsi"/>
          <w:b/>
        </w:rPr>
        <w:t>S</w:t>
      </w:r>
      <w:r w:rsidR="00730741">
        <w:rPr>
          <w:rFonts w:ascii="Calibri" w:hAnsi="Calibri" w:cs="Calibri"/>
        </w:rPr>
        <w:t>·</w:t>
      </w:r>
      <w:r w:rsidR="00730741" w:rsidRPr="00730741">
        <w:rPr>
          <w:rFonts w:asciiTheme="minorHAnsi" w:hAnsiTheme="minorHAnsi" w:cstheme="minorHAnsi"/>
          <w:b/>
        </w:rPr>
        <w:t>B</w:t>
      </w:r>
      <w:r w:rsidR="00730741">
        <w:rPr>
          <w:rFonts w:asciiTheme="minorHAnsi" w:hAnsiTheme="minorHAnsi" w:cstheme="minorHAnsi"/>
        </w:rPr>
        <w:t xml:space="preserve"> term)</w:t>
      </w:r>
      <w:r w:rsidR="00730741" w:rsidRPr="00730741">
        <w:rPr>
          <w:rFonts w:asciiTheme="minorHAnsi" w:hAnsiTheme="minorHAnsi" w:cstheme="minorHAnsi"/>
        </w:rPr>
        <w:t xml:space="preserve"> is invariant w/r to rotations.</w:t>
      </w:r>
      <w:r w:rsidR="00730741">
        <w:rPr>
          <w:rFonts w:ascii="Cambria Math" w:hAnsi="Cambria Math" w:cs="Calibri"/>
        </w:rPr>
        <w:t xml:space="preserve">  </w:t>
      </w:r>
    </w:p>
    <w:p w14:paraId="49904B66" w14:textId="77777777" w:rsidR="00013987" w:rsidRDefault="00013987" w:rsidP="00013987">
      <w:pPr>
        <w:rPr>
          <w:rFonts w:ascii="Calibri" w:hAnsi="Calibri" w:cs="Calibri"/>
        </w:rPr>
      </w:pPr>
    </w:p>
    <w:p w14:paraId="3FA97467" w14:textId="4728E8F1" w:rsidR="00013987" w:rsidRDefault="005D1EA3" w:rsidP="00013987">
      <w:r w:rsidRPr="001806A7">
        <w:rPr>
          <w:position w:val="-160"/>
        </w:rPr>
        <w:object w:dxaOrig="13120" w:dyaOrig="3320" w14:anchorId="1F35CF74">
          <v:shape id="_x0000_i1057" type="#_x0000_t75" style="width:520pt;height:131.5pt" o:ole="">
            <v:imagedata r:id="rId74" o:title=""/>
          </v:shape>
          <o:OLEObject Type="Embed" ProgID="Equation.DSMT4" ShapeID="_x0000_i1057" DrawAspect="Content" ObjectID="_1761894671" r:id="rId75"/>
        </w:object>
      </w:r>
    </w:p>
    <w:p w14:paraId="62E35FEB" w14:textId="77777777" w:rsidR="00013987" w:rsidRDefault="00013987" w:rsidP="00013987">
      <w:pPr>
        <w:rPr>
          <w:rFonts w:asciiTheme="minorHAnsi" w:hAnsiTheme="minorHAnsi" w:cstheme="minorHAnsi"/>
        </w:rPr>
      </w:pPr>
    </w:p>
    <w:p w14:paraId="47E3A5AB" w14:textId="6316CDE0" w:rsidR="00013987" w:rsidRDefault="00013987" w:rsidP="00013987">
      <w:pPr>
        <w:rPr>
          <w:rFonts w:asciiTheme="minorHAnsi" w:hAnsiTheme="minorHAnsi" w:cstheme="minorHAnsi"/>
        </w:rPr>
      </w:pPr>
      <w:r>
        <w:rPr>
          <w:rFonts w:asciiTheme="minorHAnsi" w:hAnsiTheme="minorHAnsi" w:cstheme="minorHAnsi"/>
        </w:rPr>
        <w:t xml:space="preserve">Now consider </w:t>
      </w:r>
      <w:r>
        <w:rPr>
          <w:rFonts w:ascii="Calibri" w:hAnsi="Calibri" w:cs="Calibri"/>
        </w:rPr>
        <w:t>π</w:t>
      </w:r>
      <w:r>
        <w:rPr>
          <w:rFonts w:asciiTheme="minorHAnsi" w:hAnsiTheme="minorHAnsi" w:cstheme="minorHAnsi"/>
        </w:rPr>
        <w:t xml:space="preserve"> rotations about the x-axis.  We found,</w:t>
      </w:r>
    </w:p>
    <w:p w14:paraId="03576F29" w14:textId="77777777" w:rsidR="00013987" w:rsidRDefault="00013987" w:rsidP="00013987">
      <w:pPr>
        <w:rPr>
          <w:rFonts w:asciiTheme="minorHAnsi" w:hAnsiTheme="minorHAnsi" w:cstheme="minorHAnsi"/>
        </w:rPr>
      </w:pPr>
    </w:p>
    <w:p w14:paraId="4C5029CC" w14:textId="2A8B3479" w:rsidR="00013987" w:rsidRPr="006605D3" w:rsidRDefault="001806A7" w:rsidP="00013987">
      <w:pPr>
        <w:rPr>
          <w:rFonts w:asciiTheme="minorHAnsi" w:hAnsiTheme="minorHAnsi" w:cstheme="minorHAnsi"/>
        </w:rPr>
      </w:pPr>
      <w:r w:rsidRPr="001806A7">
        <w:rPr>
          <w:position w:val="-34"/>
        </w:rPr>
        <w:object w:dxaOrig="3000" w:dyaOrig="800" w14:anchorId="6E646217">
          <v:shape id="_x0000_i1058" type="#_x0000_t75" style="width:150.5pt;height:39.5pt" o:ole="">
            <v:imagedata r:id="rId76" o:title=""/>
          </v:shape>
          <o:OLEObject Type="Embed" ProgID="Equation.DSMT4" ShapeID="_x0000_i1058" DrawAspect="Content" ObjectID="_1761894672" r:id="rId77"/>
        </w:object>
      </w:r>
    </w:p>
    <w:p w14:paraId="3A604FE6" w14:textId="77777777" w:rsidR="00013987" w:rsidRDefault="00013987" w:rsidP="00013987">
      <w:pPr>
        <w:rPr>
          <w:rFonts w:ascii="Calibri" w:hAnsi="Calibri" w:cs="Calibri"/>
        </w:rPr>
      </w:pPr>
    </w:p>
    <w:p w14:paraId="1BE60DC3" w14:textId="376C9836" w:rsidR="00013987" w:rsidRDefault="001806A7" w:rsidP="00013987">
      <w:pPr>
        <w:rPr>
          <w:rFonts w:ascii="Calibri" w:hAnsi="Calibri" w:cs="Calibri"/>
        </w:rPr>
      </w:pPr>
      <w:r>
        <w:rPr>
          <w:rFonts w:ascii="Calibri" w:hAnsi="Calibri" w:cs="Calibri"/>
        </w:rPr>
        <w:t>Applying to our GF,</w:t>
      </w:r>
    </w:p>
    <w:p w14:paraId="63AAB832" w14:textId="77777777" w:rsidR="00013987" w:rsidRDefault="00013987" w:rsidP="00013987">
      <w:pPr>
        <w:rPr>
          <w:rFonts w:ascii="Calibri" w:hAnsi="Calibri" w:cs="Calibri"/>
        </w:rPr>
      </w:pPr>
    </w:p>
    <w:p w14:paraId="377F6AC5" w14:textId="7D7B56BC" w:rsidR="001806A7" w:rsidRDefault="00350DD1" w:rsidP="00013987">
      <w:pPr>
        <w:rPr>
          <w:rFonts w:ascii="Calibri" w:hAnsi="Calibri" w:cs="Calibri"/>
        </w:rPr>
      </w:pPr>
      <w:r w:rsidRPr="001806A7">
        <w:rPr>
          <w:position w:val="-132"/>
        </w:rPr>
        <w:object w:dxaOrig="10939" w:dyaOrig="2880" w14:anchorId="54A22A48">
          <v:shape id="_x0000_i1059" type="#_x0000_t75" style="width:498.5pt;height:131pt" o:ole="">
            <v:imagedata r:id="rId78" o:title=""/>
          </v:shape>
          <o:OLEObject Type="Embed" ProgID="Equation.DSMT4" ShapeID="_x0000_i1059" DrawAspect="Content" ObjectID="_1761894673" r:id="rId79"/>
        </w:object>
      </w:r>
    </w:p>
    <w:p w14:paraId="7E711E3E" w14:textId="77777777" w:rsidR="001806A7" w:rsidRDefault="001806A7" w:rsidP="00013987">
      <w:pPr>
        <w:rPr>
          <w:rFonts w:ascii="Calibri" w:hAnsi="Calibri" w:cs="Calibri"/>
        </w:rPr>
      </w:pPr>
    </w:p>
    <w:p w14:paraId="50B82E5A" w14:textId="1C5A998A" w:rsidR="005D1EA3" w:rsidRDefault="005D1EA3" w:rsidP="00013987">
      <w:pPr>
        <w:rPr>
          <w:rFonts w:ascii="Calibri" w:hAnsi="Calibri" w:cs="Calibri"/>
        </w:rPr>
      </w:pPr>
      <w:r>
        <w:rPr>
          <w:rFonts w:ascii="Calibri" w:hAnsi="Calibri" w:cs="Calibri"/>
        </w:rPr>
        <w:t>Comparing the two, we see we must have:</w:t>
      </w:r>
    </w:p>
    <w:p w14:paraId="3BDAC124" w14:textId="77777777" w:rsidR="005D1EA3" w:rsidRDefault="005D1EA3" w:rsidP="00013987">
      <w:pPr>
        <w:rPr>
          <w:rFonts w:ascii="Calibri" w:hAnsi="Calibri" w:cs="Calibri"/>
        </w:rPr>
      </w:pPr>
    </w:p>
    <w:p w14:paraId="6B37CE06" w14:textId="496365FB" w:rsidR="005D1EA3" w:rsidRDefault="005D1EA3" w:rsidP="00013987">
      <w:pPr>
        <w:rPr>
          <w:rFonts w:ascii="Calibri" w:hAnsi="Calibri" w:cs="Calibri"/>
        </w:rPr>
      </w:pPr>
      <w:r w:rsidRPr="005D1EA3">
        <w:rPr>
          <w:position w:val="-14"/>
        </w:rPr>
        <w:object w:dxaOrig="3680" w:dyaOrig="400" w14:anchorId="4FC3371A">
          <v:shape id="_x0000_i1060" type="#_x0000_t75" style="width:184pt;height:20pt" o:ole="">
            <v:imagedata r:id="rId80" o:title=""/>
          </v:shape>
          <o:OLEObject Type="Embed" ProgID="Equation.DSMT4" ShapeID="_x0000_i1060" DrawAspect="Content" ObjectID="_1761894674" r:id="rId81"/>
        </w:object>
      </w:r>
    </w:p>
    <w:p w14:paraId="22FE46A9" w14:textId="77777777" w:rsidR="005D1EA3" w:rsidRDefault="005D1EA3" w:rsidP="00013987">
      <w:pPr>
        <w:rPr>
          <w:rFonts w:ascii="Calibri" w:hAnsi="Calibri" w:cs="Calibri"/>
        </w:rPr>
      </w:pPr>
    </w:p>
    <w:p w14:paraId="0A14096B" w14:textId="7FBB5930" w:rsidR="005D1EA3" w:rsidRPr="005D1EA3" w:rsidRDefault="005D1EA3" w:rsidP="00013987">
      <w:pPr>
        <w:rPr>
          <w:rFonts w:ascii="Calibri" w:hAnsi="Calibri" w:cs="Calibri"/>
        </w:rPr>
      </w:pPr>
      <w:r>
        <w:rPr>
          <w:rFonts w:ascii="Calibri" w:hAnsi="Calibri" w:cs="Calibri"/>
        </w:rPr>
        <w:t xml:space="preserve">So could say whatever sign the product of the incoming pair of spins has, the outgoing product must have the same.  </w:t>
      </w:r>
    </w:p>
    <w:p w14:paraId="4E9A5D27" w14:textId="2E2920BE" w:rsidR="00C02F44" w:rsidRPr="004953E5" w:rsidRDefault="00C02F44" w:rsidP="00C02F44">
      <w:pPr>
        <w:pStyle w:val="NoSpacing"/>
        <w:rPr>
          <w:sz w:val="24"/>
          <w:szCs w:val="24"/>
        </w:rPr>
      </w:pPr>
    </w:p>
    <w:p w14:paraId="65FC5411" w14:textId="77777777" w:rsidR="00F351AE" w:rsidRPr="00925D60" w:rsidRDefault="00F351AE" w:rsidP="00925D60">
      <w:pPr>
        <w:pStyle w:val="NoSpacing"/>
        <w:rPr>
          <w:rFonts w:cstheme="minorHAnsi"/>
          <w:sz w:val="24"/>
          <w:szCs w:val="24"/>
        </w:rPr>
      </w:pPr>
    </w:p>
    <w:sectPr w:rsidR="00F351AE" w:rsidRPr="00925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2BD78" w14:textId="77777777" w:rsidR="003159EC" w:rsidRDefault="003159EC" w:rsidP="00E824A8">
      <w:r>
        <w:separator/>
      </w:r>
    </w:p>
  </w:endnote>
  <w:endnote w:type="continuationSeparator" w:id="0">
    <w:p w14:paraId="1378B212" w14:textId="77777777" w:rsidR="003159EC" w:rsidRDefault="003159EC"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3520E" w14:textId="77777777" w:rsidR="003159EC" w:rsidRDefault="003159EC" w:rsidP="00E824A8">
      <w:r>
        <w:separator/>
      </w:r>
    </w:p>
  </w:footnote>
  <w:footnote w:type="continuationSeparator" w:id="0">
    <w:p w14:paraId="6F046EE7" w14:textId="77777777" w:rsidR="003159EC" w:rsidRDefault="003159EC"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5A92"/>
    <w:rsid w:val="0000655D"/>
    <w:rsid w:val="0001335F"/>
    <w:rsid w:val="00013987"/>
    <w:rsid w:val="000142F7"/>
    <w:rsid w:val="0001586C"/>
    <w:rsid w:val="00017F4B"/>
    <w:rsid w:val="0002180F"/>
    <w:rsid w:val="00022024"/>
    <w:rsid w:val="00022801"/>
    <w:rsid w:val="00023BD8"/>
    <w:rsid w:val="00026201"/>
    <w:rsid w:val="00027F90"/>
    <w:rsid w:val="000309ED"/>
    <w:rsid w:val="00040106"/>
    <w:rsid w:val="00047441"/>
    <w:rsid w:val="0005164D"/>
    <w:rsid w:val="00051A69"/>
    <w:rsid w:val="00052F43"/>
    <w:rsid w:val="00053C29"/>
    <w:rsid w:val="00057F28"/>
    <w:rsid w:val="0006022C"/>
    <w:rsid w:val="000640D3"/>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B70"/>
    <w:rsid w:val="00125E10"/>
    <w:rsid w:val="00126189"/>
    <w:rsid w:val="00133166"/>
    <w:rsid w:val="00136B79"/>
    <w:rsid w:val="0013720D"/>
    <w:rsid w:val="00147D30"/>
    <w:rsid w:val="001517F1"/>
    <w:rsid w:val="001564BE"/>
    <w:rsid w:val="00160F2D"/>
    <w:rsid w:val="00163183"/>
    <w:rsid w:val="001653CC"/>
    <w:rsid w:val="0017091F"/>
    <w:rsid w:val="00173F20"/>
    <w:rsid w:val="001806A7"/>
    <w:rsid w:val="00190F34"/>
    <w:rsid w:val="0019239B"/>
    <w:rsid w:val="00193CED"/>
    <w:rsid w:val="00194B14"/>
    <w:rsid w:val="00197666"/>
    <w:rsid w:val="001A60C6"/>
    <w:rsid w:val="001A6AF5"/>
    <w:rsid w:val="001B2EE4"/>
    <w:rsid w:val="001B7191"/>
    <w:rsid w:val="001B758B"/>
    <w:rsid w:val="001B7B66"/>
    <w:rsid w:val="001B7EA2"/>
    <w:rsid w:val="001B7FBE"/>
    <w:rsid w:val="001D2B3C"/>
    <w:rsid w:val="001D604C"/>
    <w:rsid w:val="001D635D"/>
    <w:rsid w:val="001D7B1F"/>
    <w:rsid w:val="001E1DE0"/>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471E6"/>
    <w:rsid w:val="00255AF3"/>
    <w:rsid w:val="0025684D"/>
    <w:rsid w:val="00256D35"/>
    <w:rsid w:val="00257540"/>
    <w:rsid w:val="0026669B"/>
    <w:rsid w:val="00274AD5"/>
    <w:rsid w:val="00275B89"/>
    <w:rsid w:val="002840F7"/>
    <w:rsid w:val="00285010"/>
    <w:rsid w:val="00287397"/>
    <w:rsid w:val="00292249"/>
    <w:rsid w:val="00293AC7"/>
    <w:rsid w:val="002A4234"/>
    <w:rsid w:val="002B0C80"/>
    <w:rsid w:val="002B4217"/>
    <w:rsid w:val="002B5EDD"/>
    <w:rsid w:val="002B6B30"/>
    <w:rsid w:val="002C6AF7"/>
    <w:rsid w:val="002D2C24"/>
    <w:rsid w:val="002D726E"/>
    <w:rsid w:val="002E11CD"/>
    <w:rsid w:val="002F1A20"/>
    <w:rsid w:val="002F2F04"/>
    <w:rsid w:val="002F5500"/>
    <w:rsid w:val="00300D14"/>
    <w:rsid w:val="003031AF"/>
    <w:rsid w:val="003039C4"/>
    <w:rsid w:val="00305E93"/>
    <w:rsid w:val="003108B1"/>
    <w:rsid w:val="003129F0"/>
    <w:rsid w:val="003159EC"/>
    <w:rsid w:val="00321B10"/>
    <w:rsid w:val="00322789"/>
    <w:rsid w:val="00323309"/>
    <w:rsid w:val="00326FB6"/>
    <w:rsid w:val="00331CBD"/>
    <w:rsid w:val="003335ED"/>
    <w:rsid w:val="003362BA"/>
    <w:rsid w:val="003456E5"/>
    <w:rsid w:val="00350DD1"/>
    <w:rsid w:val="00351E51"/>
    <w:rsid w:val="003528E6"/>
    <w:rsid w:val="00352B6D"/>
    <w:rsid w:val="00357A76"/>
    <w:rsid w:val="003623DB"/>
    <w:rsid w:val="003631A1"/>
    <w:rsid w:val="00363E70"/>
    <w:rsid w:val="00366D31"/>
    <w:rsid w:val="003714A7"/>
    <w:rsid w:val="003718A2"/>
    <w:rsid w:val="003729B7"/>
    <w:rsid w:val="003751FE"/>
    <w:rsid w:val="00376366"/>
    <w:rsid w:val="00381074"/>
    <w:rsid w:val="00381E23"/>
    <w:rsid w:val="00384423"/>
    <w:rsid w:val="003866FE"/>
    <w:rsid w:val="003904C7"/>
    <w:rsid w:val="00395F3D"/>
    <w:rsid w:val="00396605"/>
    <w:rsid w:val="00396A10"/>
    <w:rsid w:val="003A4504"/>
    <w:rsid w:val="003A6D19"/>
    <w:rsid w:val="003B2AF0"/>
    <w:rsid w:val="003B2F6C"/>
    <w:rsid w:val="003C05E6"/>
    <w:rsid w:val="003E23EE"/>
    <w:rsid w:val="003E4334"/>
    <w:rsid w:val="003E45F5"/>
    <w:rsid w:val="003E7363"/>
    <w:rsid w:val="003F392D"/>
    <w:rsid w:val="003F4256"/>
    <w:rsid w:val="003F5A77"/>
    <w:rsid w:val="00403EB0"/>
    <w:rsid w:val="0040432D"/>
    <w:rsid w:val="004073CF"/>
    <w:rsid w:val="00407740"/>
    <w:rsid w:val="00413C83"/>
    <w:rsid w:val="004147B3"/>
    <w:rsid w:val="00417726"/>
    <w:rsid w:val="00417F3F"/>
    <w:rsid w:val="00423BB5"/>
    <w:rsid w:val="004247A4"/>
    <w:rsid w:val="004349E5"/>
    <w:rsid w:val="00434A71"/>
    <w:rsid w:val="00440938"/>
    <w:rsid w:val="00440C12"/>
    <w:rsid w:val="004435B1"/>
    <w:rsid w:val="00450F0E"/>
    <w:rsid w:val="0045279C"/>
    <w:rsid w:val="00457029"/>
    <w:rsid w:val="00463A01"/>
    <w:rsid w:val="00482FD8"/>
    <w:rsid w:val="00483A79"/>
    <w:rsid w:val="0048496A"/>
    <w:rsid w:val="0048601A"/>
    <w:rsid w:val="004861C6"/>
    <w:rsid w:val="00486BB6"/>
    <w:rsid w:val="004916C2"/>
    <w:rsid w:val="0049373C"/>
    <w:rsid w:val="004939C5"/>
    <w:rsid w:val="0049416E"/>
    <w:rsid w:val="00494F4F"/>
    <w:rsid w:val="00495987"/>
    <w:rsid w:val="0049726D"/>
    <w:rsid w:val="0049796A"/>
    <w:rsid w:val="004A166E"/>
    <w:rsid w:val="004A3F31"/>
    <w:rsid w:val="004B3578"/>
    <w:rsid w:val="004B39D7"/>
    <w:rsid w:val="004B4C12"/>
    <w:rsid w:val="004B619E"/>
    <w:rsid w:val="004B7D59"/>
    <w:rsid w:val="004C3D0C"/>
    <w:rsid w:val="004C5697"/>
    <w:rsid w:val="004C652F"/>
    <w:rsid w:val="004D2199"/>
    <w:rsid w:val="004E05C2"/>
    <w:rsid w:val="004E0B10"/>
    <w:rsid w:val="004E2085"/>
    <w:rsid w:val="004F1870"/>
    <w:rsid w:val="00500BF3"/>
    <w:rsid w:val="00500FA3"/>
    <w:rsid w:val="005039F8"/>
    <w:rsid w:val="00524ED5"/>
    <w:rsid w:val="00525C02"/>
    <w:rsid w:val="00526044"/>
    <w:rsid w:val="00526614"/>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6892"/>
    <w:rsid w:val="005702E1"/>
    <w:rsid w:val="00571832"/>
    <w:rsid w:val="00581959"/>
    <w:rsid w:val="00586F21"/>
    <w:rsid w:val="005900D0"/>
    <w:rsid w:val="005906A5"/>
    <w:rsid w:val="005924E4"/>
    <w:rsid w:val="00593D05"/>
    <w:rsid w:val="00594E2B"/>
    <w:rsid w:val="005972C2"/>
    <w:rsid w:val="005A035A"/>
    <w:rsid w:val="005A3ADB"/>
    <w:rsid w:val="005A7B46"/>
    <w:rsid w:val="005C5C41"/>
    <w:rsid w:val="005D1EA3"/>
    <w:rsid w:val="005D4EE3"/>
    <w:rsid w:val="005D7ACD"/>
    <w:rsid w:val="005E62B2"/>
    <w:rsid w:val="005F3CCA"/>
    <w:rsid w:val="0060354F"/>
    <w:rsid w:val="0060497C"/>
    <w:rsid w:val="00604D58"/>
    <w:rsid w:val="00612256"/>
    <w:rsid w:val="0061236F"/>
    <w:rsid w:val="006134BA"/>
    <w:rsid w:val="00617ABD"/>
    <w:rsid w:val="00623F4E"/>
    <w:rsid w:val="006317E4"/>
    <w:rsid w:val="006322D0"/>
    <w:rsid w:val="00637E36"/>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06C4"/>
    <w:rsid w:val="006C07E6"/>
    <w:rsid w:val="006C3ABA"/>
    <w:rsid w:val="006C7D89"/>
    <w:rsid w:val="006C7EAB"/>
    <w:rsid w:val="006C7ED0"/>
    <w:rsid w:val="006D0267"/>
    <w:rsid w:val="006D3E3E"/>
    <w:rsid w:val="006D7CED"/>
    <w:rsid w:val="006E2751"/>
    <w:rsid w:val="006E3D82"/>
    <w:rsid w:val="006E5610"/>
    <w:rsid w:val="006F6994"/>
    <w:rsid w:val="006F6F88"/>
    <w:rsid w:val="00710603"/>
    <w:rsid w:val="00710706"/>
    <w:rsid w:val="007107CC"/>
    <w:rsid w:val="007114AC"/>
    <w:rsid w:val="007130E5"/>
    <w:rsid w:val="007149EC"/>
    <w:rsid w:val="00716A82"/>
    <w:rsid w:val="007171C3"/>
    <w:rsid w:val="00730741"/>
    <w:rsid w:val="00732254"/>
    <w:rsid w:val="00734E20"/>
    <w:rsid w:val="00744486"/>
    <w:rsid w:val="007452CC"/>
    <w:rsid w:val="0074542B"/>
    <w:rsid w:val="00747308"/>
    <w:rsid w:val="00752F96"/>
    <w:rsid w:val="007543B9"/>
    <w:rsid w:val="007549AB"/>
    <w:rsid w:val="0075544A"/>
    <w:rsid w:val="00762AB1"/>
    <w:rsid w:val="007646A5"/>
    <w:rsid w:val="00766EC3"/>
    <w:rsid w:val="0077328D"/>
    <w:rsid w:val="00775152"/>
    <w:rsid w:val="00782E09"/>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D3601"/>
    <w:rsid w:val="007E1D10"/>
    <w:rsid w:val="007E2F2D"/>
    <w:rsid w:val="007E4525"/>
    <w:rsid w:val="007E55DC"/>
    <w:rsid w:val="007F5FF8"/>
    <w:rsid w:val="008042D1"/>
    <w:rsid w:val="0080501E"/>
    <w:rsid w:val="00812A25"/>
    <w:rsid w:val="0081419E"/>
    <w:rsid w:val="00817420"/>
    <w:rsid w:val="00824B68"/>
    <w:rsid w:val="008278EF"/>
    <w:rsid w:val="00827FBD"/>
    <w:rsid w:val="0083129E"/>
    <w:rsid w:val="0083337F"/>
    <w:rsid w:val="00833A8A"/>
    <w:rsid w:val="00833E88"/>
    <w:rsid w:val="00837B7B"/>
    <w:rsid w:val="00843B92"/>
    <w:rsid w:val="00845177"/>
    <w:rsid w:val="00851B54"/>
    <w:rsid w:val="00851E85"/>
    <w:rsid w:val="00852E87"/>
    <w:rsid w:val="00854ACA"/>
    <w:rsid w:val="008575C8"/>
    <w:rsid w:val="00860526"/>
    <w:rsid w:val="00863993"/>
    <w:rsid w:val="00864819"/>
    <w:rsid w:val="00865727"/>
    <w:rsid w:val="00874286"/>
    <w:rsid w:val="008761D6"/>
    <w:rsid w:val="00877323"/>
    <w:rsid w:val="008832AB"/>
    <w:rsid w:val="008854B3"/>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29A2"/>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344"/>
    <w:rsid w:val="00913EBF"/>
    <w:rsid w:val="009147EE"/>
    <w:rsid w:val="00914EA6"/>
    <w:rsid w:val="009160D7"/>
    <w:rsid w:val="00917480"/>
    <w:rsid w:val="00920273"/>
    <w:rsid w:val="00925D60"/>
    <w:rsid w:val="0093015F"/>
    <w:rsid w:val="00932AA5"/>
    <w:rsid w:val="00932ED7"/>
    <w:rsid w:val="0094026C"/>
    <w:rsid w:val="00942A2F"/>
    <w:rsid w:val="00953620"/>
    <w:rsid w:val="00971516"/>
    <w:rsid w:val="00975590"/>
    <w:rsid w:val="009766FA"/>
    <w:rsid w:val="00977EEB"/>
    <w:rsid w:val="00982EA0"/>
    <w:rsid w:val="00987750"/>
    <w:rsid w:val="0099156E"/>
    <w:rsid w:val="00993C62"/>
    <w:rsid w:val="00995B4D"/>
    <w:rsid w:val="009A00D8"/>
    <w:rsid w:val="009A5FE7"/>
    <w:rsid w:val="009B191D"/>
    <w:rsid w:val="009B3171"/>
    <w:rsid w:val="009B429E"/>
    <w:rsid w:val="009C1873"/>
    <w:rsid w:val="009C3359"/>
    <w:rsid w:val="009C724D"/>
    <w:rsid w:val="009D1D9F"/>
    <w:rsid w:val="009D3B47"/>
    <w:rsid w:val="009D3FB8"/>
    <w:rsid w:val="009D425E"/>
    <w:rsid w:val="009D4B28"/>
    <w:rsid w:val="009D4EFF"/>
    <w:rsid w:val="009D5095"/>
    <w:rsid w:val="009E1D49"/>
    <w:rsid w:val="009E2084"/>
    <w:rsid w:val="009E2172"/>
    <w:rsid w:val="009E3832"/>
    <w:rsid w:val="009E55FE"/>
    <w:rsid w:val="009F1022"/>
    <w:rsid w:val="009F49A0"/>
    <w:rsid w:val="009F60ED"/>
    <w:rsid w:val="009F73ED"/>
    <w:rsid w:val="00A020F2"/>
    <w:rsid w:val="00A04860"/>
    <w:rsid w:val="00A07569"/>
    <w:rsid w:val="00A1254B"/>
    <w:rsid w:val="00A12625"/>
    <w:rsid w:val="00A12EFF"/>
    <w:rsid w:val="00A13148"/>
    <w:rsid w:val="00A14AC3"/>
    <w:rsid w:val="00A2330D"/>
    <w:rsid w:val="00A42ED0"/>
    <w:rsid w:val="00A5004E"/>
    <w:rsid w:val="00A53404"/>
    <w:rsid w:val="00A5552F"/>
    <w:rsid w:val="00A64D44"/>
    <w:rsid w:val="00A65296"/>
    <w:rsid w:val="00A70EE4"/>
    <w:rsid w:val="00A80EB7"/>
    <w:rsid w:val="00A81ECC"/>
    <w:rsid w:val="00A84A64"/>
    <w:rsid w:val="00A92EBE"/>
    <w:rsid w:val="00A941A0"/>
    <w:rsid w:val="00AB05D2"/>
    <w:rsid w:val="00AB2E50"/>
    <w:rsid w:val="00AB7840"/>
    <w:rsid w:val="00AC312A"/>
    <w:rsid w:val="00AC7677"/>
    <w:rsid w:val="00AC7F49"/>
    <w:rsid w:val="00AD062D"/>
    <w:rsid w:val="00AD1036"/>
    <w:rsid w:val="00AD5D44"/>
    <w:rsid w:val="00AD7E8E"/>
    <w:rsid w:val="00AE31A1"/>
    <w:rsid w:val="00AF5F32"/>
    <w:rsid w:val="00B04245"/>
    <w:rsid w:val="00B107B1"/>
    <w:rsid w:val="00B1112B"/>
    <w:rsid w:val="00B122A4"/>
    <w:rsid w:val="00B13C7C"/>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A1C1D"/>
    <w:rsid w:val="00BA236F"/>
    <w:rsid w:val="00BA486C"/>
    <w:rsid w:val="00BA6309"/>
    <w:rsid w:val="00BB0F3A"/>
    <w:rsid w:val="00BB407A"/>
    <w:rsid w:val="00BB6F5D"/>
    <w:rsid w:val="00BC28D8"/>
    <w:rsid w:val="00BC2A0F"/>
    <w:rsid w:val="00BC3466"/>
    <w:rsid w:val="00BD22AB"/>
    <w:rsid w:val="00BD35AC"/>
    <w:rsid w:val="00BD3CCC"/>
    <w:rsid w:val="00BF1C45"/>
    <w:rsid w:val="00C01D51"/>
    <w:rsid w:val="00C021A9"/>
    <w:rsid w:val="00C02950"/>
    <w:rsid w:val="00C02F44"/>
    <w:rsid w:val="00C05CD3"/>
    <w:rsid w:val="00C07A1F"/>
    <w:rsid w:val="00C108FE"/>
    <w:rsid w:val="00C11B6A"/>
    <w:rsid w:val="00C128B1"/>
    <w:rsid w:val="00C14A34"/>
    <w:rsid w:val="00C1533C"/>
    <w:rsid w:val="00C17865"/>
    <w:rsid w:val="00C178C0"/>
    <w:rsid w:val="00C20BA7"/>
    <w:rsid w:val="00C237F7"/>
    <w:rsid w:val="00C27BF5"/>
    <w:rsid w:val="00C3363E"/>
    <w:rsid w:val="00C37B2A"/>
    <w:rsid w:val="00C404CC"/>
    <w:rsid w:val="00C42285"/>
    <w:rsid w:val="00C53BD1"/>
    <w:rsid w:val="00C57313"/>
    <w:rsid w:val="00C5756D"/>
    <w:rsid w:val="00C5779F"/>
    <w:rsid w:val="00C57E95"/>
    <w:rsid w:val="00C60527"/>
    <w:rsid w:val="00C654F2"/>
    <w:rsid w:val="00C662F1"/>
    <w:rsid w:val="00C66EE8"/>
    <w:rsid w:val="00C74569"/>
    <w:rsid w:val="00C74D71"/>
    <w:rsid w:val="00C77890"/>
    <w:rsid w:val="00C77C33"/>
    <w:rsid w:val="00C83EA9"/>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E4218"/>
    <w:rsid w:val="00CF1538"/>
    <w:rsid w:val="00CF1B55"/>
    <w:rsid w:val="00CF2F25"/>
    <w:rsid w:val="00CF43A0"/>
    <w:rsid w:val="00D06943"/>
    <w:rsid w:val="00D101FB"/>
    <w:rsid w:val="00D10AC2"/>
    <w:rsid w:val="00D13DE1"/>
    <w:rsid w:val="00D246A1"/>
    <w:rsid w:val="00D43CDE"/>
    <w:rsid w:val="00D441DC"/>
    <w:rsid w:val="00D50A37"/>
    <w:rsid w:val="00D547DA"/>
    <w:rsid w:val="00D609A8"/>
    <w:rsid w:val="00D61D78"/>
    <w:rsid w:val="00D65E0C"/>
    <w:rsid w:val="00D676AB"/>
    <w:rsid w:val="00D707C3"/>
    <w:rsid w:val="00D70CA1"/>
    <w:rsid w:val="00D7168B"/>
    <w:rsid w:val="00D862EE"/>
    <w:rsid w:val="00D86523"/>
    <w:rsid w:val="00D920DB"/>
    <w:rsid w:val="00D94D26"/>
    <w:rsid w:val="00D97DFF"/>
    <w:rsid w:val="00DA084B"/>
    <w:rsid w:val="00DA1368"/>
    <w:rsid w:val="00DA1DF7"/>
    <w:rsid w:val="00DA2946"/>
    <w:rsid w:val="00DB60A3"/>
    <w:rsid w:val="00DB6BA8"/>
    <w:rsid w:val="00DC0ED7"/>
    <w:rsid w:val="00DC1D43"/>
    <w:rsid w:val="00DC458B"/>
    <w:rsid w:val="00DD0681"/>
    <w:rsid w:val="00DD20F6"/>
    <w:rsid w:val="00DD35B0"/>
    <w:rsid w:val="00DD481F"/>
    <w:rsid w:val="00DF6E64"/>
    <w:rsid w:val="00E00322"/>
    <w:rsid w:val="00E01B54"/>
    <w:rsid w:val="00E02A80"/>
    <w:rsid w:val="00E02CBE"/>
    <w:rsid w:val="00E05C9D"/>
    <w:rsid w:val="00E11F48"/>
    <w:rsid w:val="00E137F1"/>
    <w:rsid w:val="00E157D0"/>
    <w:rsid w:val="00E2100A"/>
    <w:rsid w:val="00E2163E"/>
    <w:rsid w:val="00E2331F"/>
    <w:rsid w:val="00E25299"/>
    <w:rsid w:val="00E317DD"/>
    <w:rsid w:val="00E3598E"/>
    <w:rsid w:val="00E41D13"/>
    <w:rsid w:val="00E44D99"/>
    <w:rsid w:val="00E47C38"/>
    <w:rsid w:val="00E5387D"/>
    <w:rsid w:val="00E5691F"/>
    <w:rsid w:val="00E5769B"/>
    <w:rsid w:val="00E61ECA"/>
    <w:rsid w:val="00E62991"/>
    <w:rsid w:val="00E824A8"/>
    <w:rsid w:val="00E846B4"/>
    <w:rsid w:val="00E92D92"/>
    <w:rsid w:val="00E93A1E"/>
    <w:rsid w:val="00E93C79"/>
    <w:rsid w:val="00E9592B"/>
    <w:rsid w:val="00EA1286"/>
    <w:rsid w:val="00EA272B"/>
    <w:rsid w:val="00EB59C0"/>
    <w:rsid w:val="00EC31EB"/>
    <w:rsid w:val="00EC34AA"/>
    <w:rsid w:val="00EC5BCA"/>
    <w:rsid w:val="00EC7318"/>
    <w:rsid w:val="00ED1426"/>
    <w:rsid w:val="00ED19A8"/>
    <w:rsid w:val="00EE0F4D"/>
    <w:rsid w:val="00EE23E8"/>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1AE"/>
    <w:rsid w:val="00F35F27"/>
    <w:rsid w:val="00F36E47"/>
    <w:rsid w:val="00F43DD0"/>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2ACB"/>
    <w:rsid w:val="00FD4FE2"/>
    <w:rsid w:val="00FD75D9"/>
    <w:rsid w:val="00FE0DDC"/>
    <w:rsid w:val="00FE37B2"/>
    <w:rsid w:val="00FE7DCE"/>
    <w:rsid w:val="00FF0DA3"/>
    <w:rsid w:val="00FF12AB"/>
    <w:rsid w:val="00FF4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endnotes" Target="endnotes.xml"/><Relationship Id="rId61" Type="http://schemas.openxmlformats.org/officeDocument/2006/relationships/oleObject" Target="embeddings/oleObject28.bin"/><Relationship Id="rId82" Type="http://schemas.openxmlformats.org/officeDocument/2006/relationships/fontTable" Target="fontTable.xm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8442</TotalTime>
  <Pages>8</Pages>
  <Words>1046</Words>
  <Characters>5966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205</cp:revision>
  <dcterms:created xsi:type="dcterms:W3CDTF">2019-08-06T00:12:00Z</dcterms:created>
  <dcterms:modified xsi:type="dcterms:W3CDTF">2023-11-19T15:23:00Z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