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BF7D8" w14:textId="28DCA810" w:rsidR="00874286" w:rsidRPr="00CD0785" w:rsidRDefault="00CD0785" w:rsidP="00CD0785">
      <w:pPr>
        <w:pStyle w:val="NoSpacing"/>
        <w:jc w:val="center"/>
        <w:rPr>
          <w:b/>
          <w:bCs/>
          <w:sz w:val="40"/>
          <w:szCs w:val="40"/>
          <w:u w:val="single"/>
        </w:rPr>
      </w:pPr>
      <w:r w:rsidRPr="00CD0785">
        <w:rPr>
          <w:b/>
          <w:bCs/>
          <w:sz w:val="40"/>
          <w:szCs w:val="40"/>
          <w:u w:val="single"/>
        </w:rPr>
        <w:t>Magnetic Susceptibiliy</w:t>
      </w:r>
    </w:p>
    <w:p w14:paraId="34283479" w14:textId="77777777" w:rsidR="00CD0785" w:rsidRDefault="00CD0785" w:rsidP="00CD0785">
      <w:pPr>
        <w:pStyle w:val="NoSpacing"/>
      </w:pPr>
    </w:p>
    <w:p w14:paraId="44389A4E" w14:textId="77777777" w:rsidR="001B35A9" w:rsidRDefault="001B35A9" w:rsidP="00CD0785">
      <w:pPr>
        <w:pStyle w:val="NoSpacing"/>
      </w:pPr>
    </w:p>
    <w:p w14:paraId="7D766510" w14:textId="6E58A858" w:rsidR="00CD0785" w:rsidRPr="00E0712F" w:rsidRDefault="001B35A9" w:rsidP="00CD0785">
      <w:pPr>
        <w:pStyle w:val="NoSpacing"/>
        <w:rPr>
          <w:sz w:val="24"/>
          <w:szCs w:val="24"/>
        </w:rPr>
      </w:pPr>
      <w:r w:rsidRPr="00E0712F">
        <w:rPr>
          <w:sz w:val="24"/>
          <w:szCs w:val="24"/>
        </w:rPr>
        <w:t>So yeah.</w:t>
      </w:r>
    </w:p>
    <w:p w14:paraId="3230A594" w14:textId="77777777" w:rsidR="001B35A9" w:rsidRDefault="001B35A9" w:rsidP="00CD0785">
      <w:pPr>
        <w:pStyle w:val="NoSpacing"/>
      </w:pPr>
    </w:p>
    <w:p w14:paraId="45002396" w14:textId="6EB871FD" w:rsidR="00A4223D" w:rsidRPr="007D4310" w:rsidRDefault="000E4310" w:rsidP="00CD0785">
      <w:pPr>
        <w:pStyle w:val="NoSpacing"/>
        <w:rPr>
          <w:b/>
          <w:sz w:val="24"/>
          <w:szCs w:val="24"/>
        </w:rPr>
      </w:pPr>
      <w:r w:rsidRPr="007D4310">
        <w:rPr>
          <w:b/>
          <w:sz w:val="24"/>
          <w:szCs w:val="24"/>
        </w:rPr>
        <w:t>Example</w:t>
      </w:r>
      <w:r w:rsidR="002B0687">
        <w:rPr>
          <w:b/>
          <w:sz w:val="24"/>
          <w:szCs w:val="24"/>
        </w:rPr>
        <w:t>: Magnetic susceptibility in the RPA limit</w:t>
      </w:r>
    </w:p>
    <w:p w14:paraId="449C8F85" w14:textId="1EE782AC" w:rsidR="00CD0785" w:rsidRDefault="00A0007D" w:rsidP="00CD078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Let’s </w:t>
      </w:r>
      <w:r w:rsidR="000E4310">
        <w:rPr>
          <w:sz w:val="24"/>
          <w:szCs w:val="24"/>
        </w:rPr>
        <w:t>calculate the paramagnetic susceptibility</w:t>
      </w:r>
      <w:r>
        <w:rPr>
          <w:sz w:val="24"/>
          <w:szCs w:val="24"/>
        </w:rPr>
        <w:t xml:space="preserve"> in the constant field, 0 frequency limit</w:t>
      </w:r>
      <w:r w:rsidR="00F4208F">
        <w:rPr>
          <w:sz w:val="24"/>
          <w:szCs w:val="24"/>
        </w:rPr>
        <w:t xml:space="preserve">.  </w:t>
      </w:r>
    </w:p>
    <w:p w14:paraId="469EB1E4" w14:textId="511B655F" w:rsidR="000E4310" w:rsidRDefault="000E4310" w:rsidP="00CD0785">
      <w:pPr>
        <w:pStyle w:val="NoSpacing"/>
        <w:rPr>
          <w:sz w:val="24"/>
          <w:szCs w:val="24"/>
        </w:rPr>
      </w:pPr>
    </w:p>
    <w:p w14:paraId="230CDCC8" w14:textId="7FBB45B7" w:rsidR="000E4310" w:rsidRDefault="00E0712F" w:rsidP="00CD0785">
      <w:pPr>
        <w:pStyle w:val="NoSpacing"/>
      </w:pPr>
      <w:r w:rsidRPr="00E0712F">
        <w:rPr>
          <w:position w:val="-30"/>
        </w:rPr>
        <w:object w:dxaOrig="3700" w:dyaOrig="720" w14:anchorId="05542E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193pt;height:36.5pt" o:ole="">
            <v:imagedata r:id="rId4" o:title=""/>
          </v:shape>
          <o:OLEObject Type="Embed" ProgID="Equation.DSMT4" ShapeID="_x0000_i1036" DrawAspect="Content" ObjectID="_1761895534" r:id="rId5"/>
        </w:object>
      </w:r>
    </w:p>
    <w:p w14:paraId="2BF38BC3" w14:textId="2FC8C0CB" w:rsidR="00F4208F" w:rsidRDefault="00F4208F" w:rsidP="00CD0785">
      <w:pPr>
        <w:pStyle w:val="NoSpacing"/>
        <w:rPr>
          <w:sz w:val="24"/>
          <w:szCs w:val="24"/>
        </w:rPr>
      </w:pPr>
    </w:p>
    <w:p w14:paraId="440DD229" w14:textId="32B64FAB" w:rsidR="00E0712F" w:rsidRDefault="00E0712F" w:rsidP="00CD078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from the Collective Excitation (spin) file, we found,</w:t>
      </w:r>
    </w:p>
    <w:p w14:paraId="063D0634" w14:textId="77777777" w:rsidR="00E0712F" w:rsidRDefault="00E0712F" w:rsidP="00CD0785">
      <w:pPr>
        <w:pStyle w:val="NoSpacing"/>
        <w:rPr>
          <w:sz w:val="24"/>
          <w:szCs w:val="24"/>
        </w:rPr>
      </w:pPr>
    </w:p>
    <w:p w14:paraId="66FD81D2" w14:textId="3EE3CC55" w:rsidR="00E0712F" w:rsidRDefault="00E0712F" w:rsidP="00CD0785">
      <w:pPr>
        <w:pStyle w:val="NoSpacing"/>
        <w:rPr>
          <w:sz w:val="24"/>
          <w:szCs w:val="24"/>
        </w:rPr>
      </w:pPr>
      <w:r w:rsidRPr="00A762D5">
        <w:rPr>
          <w:position w:val="-14"/>
        </w:rPr>
        <w:object w:dxaOrig="3000" w:dyaOrig="400" w14:anchorId="18C7AA7A">
          <v:shape id="_x0000_i1034" type="#_x0000_t75" style="width:150pt;height:20pt" o:ole="">
            <v:imagedata r:id="rId6" o:title=""/>
          </v:shape>
          <o:OLEObject Type="Embed" ProgID="Equation.DSMT4" ShapeID="_x0000_i1034" DrawAspect="Content" ObjectID="_1761895535" r:id="rId7"/>
        </w:object>
      </w:r>
    </w:p>
    <w:p w14:paraId="57E01A22" w14:textId="77777777" w:rsidR="00E0712F" w:rsidRDefault="00E0712F" w:rsidP="00CD0785">
      <w:pPr>
        <w:pStyle w:val="NoSpacing"/>
        <w:rPr>
          <w:sz w:val="24"/>
          <w:szCs w:val="24"/>
        </w:rPr>
      </w:pPr>
    </w:p>
    <w:p w14:paraId="15F74B55" w14:textId="406198C0" w:rsidR="00E0712F" w:rsidRDefault="00E0712F" w:rsidP="00CD078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in the RPA approximation, we’ve got:</w:t>
      </w:r>
    </w:p>
    <w:p w14:paraId="2A63BA21" w14:textId="77777777" w:rsidR="00E0712F" w:rsidRDefault="00E0712F" w:rsidP="00CD0785">
      <w:pPr>
        <w:pStyle w:val="NoSpacing"/>
        <w:rPr>
          <w:sz w:val="24"/>
          <w:szCs w:val="24"/>
        </w:rPr>
      </w:pPr>
    </w:p>
    <w:p w14:paraId="42AC67F7" w14:textId="0B8A8793" w:rsidR="00E0712F" w:rsidRDefault="00E0712F" w:rsidP="00CD0785">
      <w:pPr>
        <w:pStyle w:val="NoSpacing"/>
        <w:rPr>
          <w:sz w:val="24"/>
          <w:szCs w:val="24"/>
        </w:rPr>
      </w:pPr>
      <w:r w:rsidRPr="00E0712F">
        <w:rPr>
          <w:position w:val="-34"/>
        </w:rPr>
        <w:object w:dxaOrig="3980" w:dyaOrig="780" w14:anchorId="1E2D8AB0">
          <v:shape id="_x0000_i1039" type="#_x0000_t75" style="width:208pt;height:39.5pt" o:ole="">
            <v:imagedata r:id="rId8" o:title=""/>
          </v:shape>
          <o:OLEObject Type="Embed" ProgID="Equation.DSMT4" ShapeID="_x0000_i1039" DrawAspect="Content" ObjectID="_1761895536" r:id="rId9"/>
        </w:object>
      </w:r>
    </w:p>
    <w:p w14:paraId="741D402A" w14:textId="013344F6" w:rsidR="00A0007D" w:rsidRDefault="00A0007D" w:rsidP="00CD0785">
      <w:pPr>
        <w:pStyle w:val="NoSpacing"/>
        <w:rPr>
          <w:sz w:val="24"/>
          <w:szCs w:val="24"/>
        </w:rPr>
      </w:pPr>
    </w:p>
    <w:p w14:paraId="26E930FD" w14:textId="6FFF757B" w:rsidR="00A0007D" w:rsidRDefault="008A40FD" w:rsidP="00CD078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and then going to q = 0, </w:t>
      </w:r>
      <w:r>
        <w:rPr>
          <w:rFonts w:ascii="Calibri" w:hAnsi="Calibri" w:cs="Calibri"/>
          <w:sz w:val="24"/>
          <w:szCs w:val="24"/>
        </w:rPr>
        <w:t>ω</w:t>
      </w:r>
      <w:r>
        <w:rPr>
          <w:sz w:val="24"/>
          <w:szCs w:val="24"/>
        </w:rPr>
        <w:t xml:space="preserve"> = 0 (meaning constant field in space and time), we have:</w:t>
      </w:r>
    </w:p>
    <w:p w14:paraId="091380F2" w14:textId="77777777" w:rsidR="00A0007D" w:rsidRDefault="00A0007D" w:rsidP="00CD0785">
      <w:pPr>
        <w:pStyle w:val="NoSpacing"/>
        <w:rPr>
          <w:sz w:val="24"/>
          <w:szCs w:val="24"/>
        </w:rPr>
      </w:pPr>
    </w:p>
    <w:p w14:paraId="36BE278E" w14:textId="697C5D83" w:rsidR="00A0007D" w:rsidRDefault="00CE5F98" w:rsidP="00CD0785">
      <w:pPr>
        <w:pStyle w:val="NoSpacing"/>
        <w:rPr>
          <w:sz w:val="24"/>
          <w:szCs w:val="24"/>
        </w:rPr>
      </w:pPr>
      <w:r w:rsidRPr="00F4208F">
        <w:rPr>
          <w:position w:val="-34"/>
        </w:rPr>
        <w:object w:dxaOrig="3360" w:dyaOrig="780" w14:anchorId="27C5DCB7">
          <v:shape id="_x0000_i1028" type="#_x0000_t75" style="width:184pt;height:44pt" o:ole="">
            <v:imagedata r:id="rId10" o:title=""/>
          </v:shape>
          <o:OLEObject Type="Embed" ProgID="Equation.DSMT4" ShapeID="_x0000_i1028" DrawAspect="Content" ObjectID="_1761895537" r:id="rId11"/>
        </w:object>
      </w:r>
    </w:p>
    <w:p w14:paraId="1827CE4C" w14:textId="7D3BB6C4" w:rsidR="002676D4" w:rsidRDefault="002676D4" w:rsidP="00CD0785">
      <w:pPr>
        <w:pStyle w:val="NoSpacing"/>
        <w:rPr>
          <w:sz w:val="24"/>
          <w:szCs w:val="24"/>
        </w:rPr>
      </w:pPr>
    </w:p>
    <w:p w14:paraId="76E4BF6E" w14:textId="71BBA460" w:rsidR="000346F7" w:rsidRDefault="00F4208F" w:rsidP="00CD078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where we acknowledge that the small q, and </w:t>
      </w:r>
      <w:r>
        <w:rPr>
          <w:rFonts w:ascii="Calibri" w:hAnsi="Calibri" w:cs="Calibri"/>
          <w:sz w:val="24"/>
          <w:szCs w:val="24"/>
        </w:rPr>
        <w:t>ω</w:t>
      </w:r>
      <w:r>
        <w:rPr>
          <w:sz w:val="24"/>
          <w:szCs w:val="24"/>
        </w:rPr>
        <w:t xml:space="preserve"> = 0 limit is just the classical regime, which, in the RPA, is given by the Thomas-Fermi approximation.  </w:t>
      </w:r>
      <w:r w:rsidR="000346F7">
        <w:rPr>
          <w:sz w:val="24"/>
          <w:szCs w:val="24"/>
        </w:rPr>
        <w:t>We have, from the Collective Excitations file,</w:t>
      </w:r>
    </w:p>
    <w:p w14:paraId="0ED156F9" w14:textId="77777777" w:rsidR="000346F7" w:rsidRDefault="000346F7" w:rsidP="00CD0785">
      <w:pPr>
        <w:pStyle w:val="NoSpacing"/>
        <w:rPr>
          <w:sz w:val="24"/>
          <w:szCs w:val="24"/>
        </w:rPr>
      </w:pPr>
    </w:p>
    <w:p w14:paraId="7DA961FA" w14:textId="3E1C93E4" w:rsidR="000346F7" w:rsidRDefault="000346F7" w:rsidP="00CD0785">
      <w:pPr>
        <w:pStyle w:val="NoSpacing"/>
        <w:rPr>
          <w:sz w:val="24"/>
          <w:szCs w:val="24"/>
        </w:rPr>
      </w:pPr>
      <w:r w:rsidRPr="00A762D5">
        <w:rPr>
          <w:position w:val="-30"/>
        </w:rPr>
        <w:object w:dxaOrig="7119" w:dyaOrig="720" w14:anchorId="1DA29FCB">
          <v:shape id="_x0000_i1055" type="#_x0000_t75" style="width:356pt;height:36pt" o:ole="">
            <v:imagedata r:id="rId12" o:title=""/>
          </v:shape>
          <o:OLEObject Type="Embed" ProgID="Equation.DSMT4" ShapeID="_x0000_i1055" DrawAspect="Content" ObjectID="_1761895538" r:id="rId13"/>
        </w:object>
      </w:r>
    </w:p>
    <w:p w14:paraId="5A052EC8" w14:textId="77777777" w:rsidR="00062394" w:rsidRDefault="00062394" w:rsidP="00CD0785">
      <w:pPr>
        <w:pStyle w:val="NoSpacing"/>
        <w:rPr>
          <w:sz w:val="24"/>
          <w:szCs w:val="24"/>
        </w:rPr>
      </w:pPr>
    </w:p>
    <w:p w14:paraId="11A37B16" w14:textId="54895222" w:rsidR="000346F7" w:rsidRDefault="000346F7" w:rsidP="00CD078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So, recalling the density of states at the Fermi surface (see Free Day / Electrons / Excitation / Properties), we can say:</w:t>
      </w:r>
    </w:p>
    <w:p w14:paraId="00A6A6D7" w14:textId="77777777" w:rsidR="000346F7" w:rsidRDefault="000346F7" w:rsidP="00CD0785">
      <w:pPr>
        <w:pStyle w:val="NoSpacing"/>
        <w:rPr>
          <w:sz w:val="24"/>
          <w:szCs w:val="24"/>
        </w:rPr>
      </w:pPr>
    </w:p>
    <w:p w14:paraId="091C0D8F" w14:textId="48D4046D" w:rsidR="000346F7" w:rsidRDefault="000346F7" w:rsidP="00CD0785">
      <w:pPr>
        <w:pStyle w:val="NoSpacing"/>
      </w:pPr>
      <w:r w:rsidRPr="00A762D5">
        <w:rPr>
          <w:position w:val="-24"/>
        </w:rPr>
        <w:object w:dxaOrig="3060" w:dyaOrig="620" w14:anchorId="34F2B22F">
          <v:shape id="_x0000_i1060" type="#_x0000_t75" style="width:153pt;height:31pt" o:ole="">
            <v:imagedata r:id="rId14" o:title=""/>
          </v:shape>
          <o:OLEObject Type="Embed" ProgID="Equation.DSMT4" ShapeID="_x0000_i1060" DrawAspect="Content" ObjectID="_1761895539" r:id="rId15"/>
        </w:object>
      </w:r>
    </w:p>
    <w:p w14:paraId="7D6D14F6" w14:textId="77777777" w:rsidR="000346F7" w:rsidRDefault="000346F7" w:rsidP="00CD0785">
      <w:pPr>
        <w:pStyle w:val="NoSpacing"/>
      </w:pPr>
    </w:p>
    <w:p w14:paraId="505CFC76" w14:textId="3015F5D0" w:rsidR="000346F7" w:rsidRDefault="000346F7" w:rsidP="00CD078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And filling this in we have:</w:t>
      </w:r>
    </w:p>
    <w:p w14:paraId="35CD88B3" w14:textId="77777777" w:rsidR="000346F7" w:rsidRDefault="000346F7" w:rsidP="00CD0785">
      <w:pPr>
        <w:pStyle w:val="NoSpacing"/>
        <w:rPr>
          <w:sz w:val="24"/>
          <w:szCs w:val="24"/>
        </w:rPr>
      </w:pPr>
    </w:p>
    <w:p w14:paraId="4FE75A52" w14:textId="4C399641" w:rsidR="000346F7" w:rsidRDefault="000346F7" w:rsidP="00CD0785">
      <w:pPr>
        <w:pStyle w:val="NoSpacing"/>
        <w:rPr>
          <w:sz w:val="24"/>
          <w:szCs w:val="24"/>
        </w:rPr>
      </w:pPr>
      <w:r w:rsidRPr="000346F7">
        <w:rPr>
          <w:position w:val="-30"/>
        </w:rPr>
        <w:object w:dxaOrig="2180" w:dyaOrig="720" w14:anchorId="7980D52D">
          <v:shape id="_x0000_i1062" type="#_x0000_t75" style="width:119.5pt;height:40.5pt" o:ole="" filled="t" fillcolor="#cfc">
            <v:imagedata r:id="rId16" o:title=""/>
          </v:shape>
          <o:OLEObject Type="Embed" ProgID="Equation.DSMT4" ShapeID="_x0000_i1062" DrawAspect="Content" ObjectID="_1761895540" r:id="rId17"/>
        </w:object>
      </w:r>
    </w:p>
    <w:p w14:paraId="16D8208F" w14:textId="77777777" w:rsidR="00F4208F" w:rsidRDefault="00F4208F" w:rsidP="00CD0785">
      <w:pPr>
        <w:pStyle w:val="NoSpacing"/>
        <w:rPr>
          <w:rFonts w:ascii="Calibri" w:hAnsi="Calibri" w:cs="Calibri"/>
          <w:sz w:val="24"/>
          <w:szCs w:val="24"/>
        </w:rPr>
      </w:pPr>
    </w:p>
    <w:p w14:paraId="0AE2D19A" w14:textId="531D5C8D" w:rsidR="00CD0785" w:rsidRPr="00E5291F" w:rsidRDefault="00CE5F98" w:rsidP="00CE5F98">
      <w:pPr>
        <w:pStyle w:val="NoSpacing"/>
        <w:rPr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We can go to SI by basically converting 4π → μ</w:t>
      </w:r>
      <w:r>
        <w:rPr>
          <w:rFonts w:ascii="Calibri" w:hAnsi="Calibri" w:cs="Calibri"/>
          <w:sz w:val="24"/>
          <w:szCs w:val="24"/>
          <w:vertAlign w:val="subscript"/>
        </w:rPr>
        <w:t>0</w:t>
      </w:r>
      <w:r>
        <w:rPr>
          <w:rFonts w:ascii="Calibri" w:hAnsi="Calibri" w:cs="Calibri"/>
          <w:sz w:val="24"/>
          <w:szCs w:val="24"/>
        </w:rPr>
        <w:t xml:space="preserve">, and well I guess we’ll have to add in factors of </w:t>
      </w:r>
      <w:r>
        <w:rPr>
          <w:rFonts w:ascii="Cambria Math" w:hAnsi="Cambria Math" w:cs="Calibri"/>
          <w:sz w:val="24"/>
          <w:szCs w:val="24"/>
        </w:rPr>
        <w:t>ℏ</w:t>
      </w:r>
      <w:r>
        <w:rPr>
          <w:rFonts w:ascii="Calibri" w:hAnsi="Calibri" w:cs="Calibri"/>
          <w:sz w:val="24"/>
          <w:szCs w:val="24"/>
        </w:rPr>
        <w:t xml:space="preserve"> too.  Anyway, we can see that this is precisely what we found in the thermal equilibrium case.</w:t>
      </w:r>
      <w:r w:rsidR="003A6F81">
        <w:rPr>
          <w:rFonts w:ascii="Calibri" w:hAnsi="Calibri" w:cs="Calibri"/>
          <w:sz w:val="24"/>
          <w:szCs w:val="24"/>
        </w:rPr>
        <w:t xml:space="preserve">  And in the Free Day folder.  </w:t>
      </w:r>
      <w:r w:rsidR="00E5291F">
        <w:rPr>
          <w:rFonts w:ascii="Calibri" w:hAnsi="Calibri" w:cs="Calibri"/>
          <w:sz w:val="24"/>
          <w:szCs w:val="24"/>
        </w:rPr>
        <w:t>Might point out that this formula suggests we could get some strongly magnetic behavior if ρ</w:t>
      </w:r>
      <w:r w:rsidR="00E5291F">
        <w:rPr>
          <w:rFonts w:ascii="Calibri" w:hAnsi="Calibri" w:cs="Calibri"/>
          <w:sz w:val="24"/>
          <w:szCs w:val="24"/>
          <w:vertAlign w:val="subscript"/>
        </w:rPr>
        <w:t>F</w:t>
      </w:r>
      <w:r w:rsidR="00E5291F">
        <w:rPr>
          <w:rFonts w:ascii="Calibri" w:hAnsi="Calibri" w:cs="Calibri"/>
          <w:sz w:val="24"/>
          <w:szCs w:val="24"/>
        </w:rPr>
        <w:t xml:space="preserve"> is large enough.  And it is often large for transition metals, and  especially the f’s, as there are many overlapping bands near the Fermi surface, and so a large density of states.  </w:t>
      </w:r>
    </w:p>
    <w:p w14:paraId="525C99E6" w14:textId="4588EE69" w:rsidR="004B79BA" w:rsidRDefault="004B79BA" w:rsidP="00CD0785">
      <w:pPr>
        <w:pStyle w:val="NoSpacing"/>
        <w:rPr>
          <w:sz w:val="24"/>
          <w:szCs w:val="24"/>
        </w:rPr>
      </w:pPr>
    </w:p>
    <w:p w14:paraId="59445D9E" w14:textId="77777777" w:rsidR="00AC15C8" w:rsidRPr="004953E5" w:rsidRDefault="00AC15C8" w:rsidP="00CD0785">
      <w:pPr>
        <w:pStyle w:val="NoSpacing"/>
        <w:rPr>
          <w:sz w:val="24"/>
          <w:szCs w:val="24"/>
        </w:rPr>
      </w:pPr>
    </w:p>
    <w:sectPr w:rsidR="00AC15C8" w:rsidRPr="004953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30E"/>
    <w:rsid w:val="00013BB5"/>
    <w:rsid w:val="000209E2"/>
    <w:rsid w:val="000346F7"/>
    <w:rsid w:val="00046168"/>
    <w:rsid w:val="0005204F"/>
    <w:rsid w:val="00062394"/>
    <w:rsid w:val="00087059"/>
    <w:rsid w:val="000D709D"/>
    <w:rsid w:val="000E4310"/>
    <w:rsid w:val="000E7131"/>
    <w:rsid w:val="001208CF"/>
    <w:rsid w:val="00126E8B"/>
    <w:rsid w:val="00132D8C"/>
    <w:rsid w:val="00133166"/>
    <w:rsid w:val="00143495"/>
    <w:rsid w:val="00145668"/>
    <w:rsid w:val="0016370E"/>
    <w:rsid w:val="00166B54"/>
    <w:rsid w:val="0018029D"/>
    <w:rsid w:val="001814CA"/>
    <w:rsid w:val="001833B5"/>
    <w:rsid w:val="001A14CE"/>
    <w:rsid w:val="001B35A9"/>
    <w:rsid w:val="001C74B6"/>
    <w:rsid w:val="001E6F13"/>
    <w:rsid w:val="001F0A20"/>
    <w:rsid w:val="00232F05"/>
    <w:rsid w:val="0024198A"/>
    <w:rsid w:val="002676D4"/>
    <w:rsid w:val="002A5055"/>
    <w:rsid w:val="002B0687"/>
    <w:rsid w:val="002D4F6D"/>
    <w:rsid w:val="002F5E7B"/>
    <w:rsid w:val="002F6CB4"/>
    <w:rsid w:val="003042C4"/>
    <w:rsid w:val="00306160"/>
    <w:rsid w:val="00330341"/>
    <w:rsid w:val="00342B0A"/>
    <w:rsid w:val="00361B56"/>
    <w:rsid w:val="003658F8"/>
    <w:rsid w:val="003A6F81"/>
    <w:rsid w:val="003B2AF0"/>
    <w:rsid w:val="003D3D16"/>
    <w:rsid w:val="003E7910"/>
    <w:rsid w:val="003F0A70"/>
    <w:rsid w:val="003F1354"/>
    <w:rsid w:val="003F1482"/>
    <w:rsid w:val="0040185E"/>
    <w:rsid w:val="00417922"/>
    <w:rsid w:val="004349E5"/>
    <w:rsid w:val="00434A71"/>
    <w:rsid w:val="00434D52"/>
    <w:rsid w:val="0046435F"/>
    <w:rsid w:val="004725D5"/>
    <w:rsid w:val="004953E5"/>
    <w:rsid w:val="004B39D7"/>
    <w:rsid w:val="004B79BA"/>
    <w:rsid w:val="004C66E3"/>
    <w:rsid w:val="004D62A1"/>
    <w:rsid w:val="004F261F"/>
    <w:rsid w:val="00503D99"/>
    <w:rsid w:val="005450F8"/>
    <w:rsid w:val="00581959"/>
    <w:rsid w:val="005C0323"/>
    <w:rsid w:val="005F1D68"/>
    <w:rsid w:val="006012D6"/>
    <w:rsid w:val="00604C74"/>
    <w:rsid w:val="00666D80"/>
    <w:rsid w:val="006A1912"/>
    <w:rsid w:val="006D3F6B"/>
    <w:rsid w:val="006F530E"/>
    <w:rsid w:val="0071280F"/>
    <w:rsid w:val="007161A1"/>
    <w:rsid w:val="007222E5"/>
    <w:rsid w:val="00740E29"/>
    <w:rsid w:val="007452CC"/>
    <w:rsid w:val="007D4310"/>
    <w:rsid w:val="00814EA4"/>
    <w:rsid w:val="00817B79"/>
    <w:rsid w:val="0082130B"/>
    <w:rsid w:val="0082323E"/>
    <w:rsid w:val="008617F4"/>
    <w:rsid w:val="008734B6"/>
    <w:rsid w:val="00874286"/>
    <w:rsid w:val="00874A12"/>
    <w:rsid w:val="008753E2"/>
    <w:rsid w:val="008A22B9"/>
    <w:rsid w:val="008A40FD"/>
    <w:rsid w:val="008F38CE"/>
    <w:rsid w:val="008F4027"/>
    <w:rsid w:val="008F7A7C"/>
    <w:rsid w:val="00934C73"/>
    <w:rsid w:val="009379C4"/>
    <w:rsid w:val="00974066"/>
    <w:rsid w:val="009A5A42"/>
    <w:rsid w:val="009B3741"/>
    <w:rsid w:val="009B680C"/>
    <w:rsid w:val="009D5095"/>
    <w:rsid w:val="00A0007D"/>
    <w:rsid w:val="00A12362"/>
    <w:rsid w:val="00A4223D"/>
    <w:rsid w:val="00A82F09"/>
    <w:rsid w:val="00A91A6B"/>
    <w:rsid w:val="00AA770D"/>
    <w:rsid w:val="00AC15C8"/>
    <w:rsid w:val="00AD2C3C"/>
    <w:rsid w:val="00AD6E2A"/>
    <w:rsid w:val="00AF6FF2"/>
    <w:rsid w:val="00B26251"/>
    <w:rsid w:val="00B458CF"/>
    <w:rsid w:val="00B61FFE"/>
    <w:rsid w:val="00B6779A"/>
    <w:rsid w:val="00BC2307"/>
    <w:rsid w:val="00BC396F"/>
    <w:rsid w:val="00BF0ED6"/>
    <w:rsid w:val="00BF477D"/>
    <w:rsid w:val="00C06AEE"/>
    <w:rsid w:val="00C433D5"/>
    <w:rsid w:val="00C670BC"/>
    <w:rsid w:val="00C74B94"/>
    <w:rsid w:val="00C91DAE"/>
    <w:rsid w:val="00CD0785"/>
    <w:rsid w:val="00CD1844"/>
    <w:rsid w:val="00CE286B"/>
    <w:rsid w:val="00CE5F98"/>
    <w:rsid w:val="00CF481D"/>
    <w:rsid w:val="00D00DF4"/>
    <w:rsid w:val="00D44E35"/>
    <w:rsid w:val="00D61A58"/>
    <w:rsid w:val="00D82C59"/>
    <w:rsid w:val="00DA0EA2"/>
    <w:rsid w:val="00DB1430"/>
    <w:rsid w:val="00DF0DA2"/>
    <w:rsid w:val="00DF7FFC"/>
    <w:rsid w:val="00E044E6"/>
    <w:rsid w:val="00E0712F"/>
    <w:rsid w:val="00E33E80"/>
    <w:rsid w:val="00E44F52"/>
    <w:rsid w:val="00E47D97"/>
    <w:rsid w:val="00E5291F"/>
    <w:rsid w:val="00E70C96"/>
    <w:rsid w:val="00E714F7"/>
    <w:rsid w:val="00EA1737"/>
    <w:rsid w:val="00ED5ABF"/>
    <w:rsid w:val="00ED781A"/>
    <w:rsid w:val="00EE1E8B"/>
    <w:rsid w:val="00EF20EE"/>
    <w:rsid w:val="00F04D42"/>
    <w:rsid w:val="00F0756B"/>
    <w:rsid w:val="00F117F8"/>
    <w:rsid w:val="00F4208F"/>
    <w:rsid w:val="00F70ED3"/>
    <w:rsid w:val="00F74F1D"/>
    <w:rsid w:val="00F76DC5"/>
    <w:rsid w:val="00F77BC5"/>
    <w:rsid w:val="00F8730E"/>
    <w:rsid w:val="00F9710A"/>
    <w:rsid w:val="00FA77CE"/>
    <w:rsid w:val="00FA791A"/>
    <w:rsid w:val="00FB46E7"/>
    <w:rsid w:val="00FC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F8E93"/>
  <w15:chartTrackingRefBased/>
  <w15:docId w15:val="{C99C268A-5D30-401B-9019-7DD091859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785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0E71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2108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Kennard, Shauna</cp:lastModifiedBy>
  <cp:revision>49</cp:revision>
  <dcterms:created xsi:type="dcterms:W3CDTF">2020-04-22T23:29:00Z</dcterms:created>
  <dcterms:modified xsi:type="dcterms:W3CDTF">2023-11-19T15:36:00Z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